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AC4" w:rsidRPr="00D449EF" w:rsidRDefault="00F47AC4" w:rsidP="00505EF5">
      <w:pPr>
        <w:spacing w:after="0"/>
        <w:rPr>
          <w:rFonts w:ascii="Arial" w:hAnsi="Arial" w:cs="Arial"/>
        </w:rPr>
      </w:pPr>
    </w:p>
    <w:tbl>
      <w:tblPr>
        <w:tblpPr w:leftFromText="180" w:rightFromText="180" w:vertAnchor="page" w:horzAnchor="margin" w:tblpXSpec="center" w:tblpY="1967"/>
        <w:tblW w:w="4362" w:type="pct"/>
        <w:tblLayout w:type="fixed"/>
        <w:tblLook w:val="04A0" w:firstRow="1" w:lastRow="0" w:firstColumn="1" w:lastColumn="0" w:noHBand="0" w:noVBand="1"/>
      </w:tblPr>
      <w:tblGrid>
        <w:gridCol w:w="2473"/>
        <w:gridCol w:w="2473"/>
        <w:gridCol w:w="2473"/>
        <w:gridCol w:w="2473"/>
        <w:gridCol w:w="2473"/>
      </w:tblGrid>
      <w:tr w:rsidR="00A622E8" w:rsidRPr="00F47AC4" w:rsidTr="00CD2377">
        <w:trPr>
          <w:trHeight w:val="900"/>
        </w:trPr>
        <w:tc>
          <w:tcPr>
            <w:tcW w:w="1000"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A622E8" w:rsidRPr="00D449EF" w:rsidRDefault="00A622E8" w:rsidP="00A622E8">
            <w:pPr>
              <w:spacing w:after="0" w:line="240" w:lineRule="auto"/>
              <w:jc w:val="center"/>
              <w:rPr>
                <w:rFonts w:ascii="Arial" w:eastAsia="Times New Roman" w:hAnsi="Arial" w:cs="Arial"/>
                <w:b/>
                <w:bCs/>
                <w:color w:val="000000"/>
                <w:sz w:val="20"/>
                <w:szCs w:val="20"/>
                <w:lang w:eastAsia="en-GB"/>
              </w:rPr>
            </w:pPr>
            <w:r w:rsidRPr="00D449EF">
              <w:rPr>
                <w:rFonts w:ascii="Arial" w:eastAsia="Times New Roman" w:hAnsi="Arial" w:cs="Arial"/>
                <w:b/>
                <w:bCs/>
                <w:color w:val="000000"/>
                <w:sz w:val="20"/>
                <w:szCs w:val="20"/>
                <w:lang w:eastAsia="en-GB"/>
              </w:rPr>
              <w:t>Business Need</w:t>
            </w:r>
          </w:p>
        </w:tc>
        <w:tc>
          <w:tcPr>
            <w:tcW w:w="1000" w:type="pct"/>
            <w:tcBorders>
              <w:top w:val="single" w:sz="4" w:space="0" w:color="auto"/>
              <w:left w:val="nil"/>
              <w:bottom w:val="single" w:sz="4" w:space="0" w:color="auto"/>
              <w:right w:val="single" w:sz="4" w:space="0" w:color="auto"/>
            </w:tcBorders>
            <w:shd w:val="clear" w:color="000000" w:fill="C5D9F1"/>
            <w:noWrap/>
            <w:vAlign w:val="center"/>
            <w:hideMark/>
          </w:tcPr>
          <w:p w:rsidR="00A622E8" w:rsidRPr="00D449EF" w:rsidRDefault="00A622E8" w:rsidP="00A622E8">
            <w:pPr>
              <w:spacing w:after="0" w:line="240" w:lineRule="auto"/>
              <w:jc w:val="center"/>
              <w:rPr>
                <w:rFonts w:ascii="Arial" w:eastAsia="Times New Roman" w:hAnsi="Arial" w:cs="Arial"/>
                <w:b/>
                <w:bCs/>
                <w:color w:val="000000"/>
                <w:sz w:val="20"/>
                <w:szCs w:val="20"/>
                <w:lang w:eastAsia="en-GB"/>
              </w:rPr>
            </w:pPr>
            <w:r w:rsidRPr="00D449EF">
              <w:rPr>
                <w:rFonts w:ascii="Arial" w:eastAsia="Times New Roman" w:hAnsi="Arial" w:cs="Arial"/>
                <w:b/>
                <w:bCs/>
                <w:color w:val="000000"/>
                <w:sz w:val="20"/>
                <w:szCs w:val="20"/>
                <w:lang w:eastAsia="en-GB"/>
              </w:rPr>
              <w:t>Scope</w:t>
            </w:r>
          </w:p>
        </w:tc>
        <w:tc>
          <w:tcPr>
            <w:tcW w:w="1000" w:type="pct"/>
            <w:tcBorders>
              <w:top w:val="single" w:sz="4" w:space="0" w:color="auto"/>
              <w:left w:val="nil"/>
              <w:bottom w:val="single" w:sz="4" w:space="0" w:color="auto"/>
              <w:right w:val="single" w:sz="4" w:space="0" w:color="auto"/>
            </w:tcBorders>
            <w:shd w:val="clear" w:color="000000" w:fill="C5D9F1"/>
            <w:vAlign w:val="center"/>
            <w:hideMark/>
          </w:tcPr>
          <w:p w:rsidR="00A622E8" w:rsidRPr="00D449EF" w:rsidRDefault="00A622E8" w:rsidP="00A622E8">
            <w:pPr>
              <w:spacing w:after="0" w:line="240" w:lineRule="auto"/>
              <w:jc w:val="center"/>
              <w:rPr>
                <w:rFonts w:ascii="Arial" w:eastAsia="Times New Roman" w:hAnsi="Arial" w:cs="Arial"/>
                <w:b/>
                <w:bCs/>
                <w:color w:val="000000"/>
                <w:sz w:val="20"/>
                <w:szCs w:val="20"/>
                <w:lang w:eastAsia="en-GB"/>
              </w:rPr>
            </w:pPr>
            <w:r w:rsidRPr="00D449EF">
              <w:rPr>
                <w:rFonts w:ascii="Arial" w:eastAsia="Times New Roman" w:hAnsi="Arial" w:cs="Arial"/>
                <w:b/>
                <w:bCs/>
                <w:color w:val="000000"/>
                <w:sz w:val="20"/>
                <w:szCs w:val="20"/>
                <w:lang w:eastAsia="en-GB"/>
              </w:rPr>
              <w:t>Statement of Requirements</w:t>
            </w:r>
          </w:p>
        </w:tc>
        <w:tc>
          <w:tcPr>
            <w:tcW w:w="1000" w:type="pct"/>
            <w:tcBorders>
              <w:top w:val="single" w:sz="4" w:space="0" w:color="auto"/>
              <w:left w:val="nil"/>
              <w:bottom w:val="single" w:sz="4" w:space="0" w:color="auto"/>
              <w:right w:val="single" w:sz="4" w:space="0" w:color="auto"/>
            </w:tcBorders>
            <w:shd w:val="clear" w:color="000000" w:fill="C5D9F1"/>
            <w:noWrap/>
            <w:vAlign w:val="center"/>
            <w:hideMark/>
          </w:tcPr>
          <w:p w:rsidR="00A622E8" w:rsidRPr="00D449EF" w:rsidRDefault="00A622E8" w:rsidP="00A622E8">
            <w:pPr>
              <w:spacing w:after="0" w:line="240" w:lineRule="auto"/>
              <w:jc w:val="center"/>
              <w:rPr>
                <w:rFonts w:ascii="Arial" w:eastAsia="Times New Roman" w:hAnsi="Arial" w:cs="Arial"/>
                <w:b/>
                <w:bCs/>
                <w:color w:val="000000"/>
                <w:sz w:val="20"/>
                <w:szCs w:val="20"/>
                <w:lang w:eastAsia="en-GB"/>
              </w:rPr>
            </w:pPr>
            <w:r w:rsidRPr="00D449EF">
              <w:rPr>
                <w:rFonts w:ascii="Arial" w:eastAsia="Times New Roman" w:hAnsi="Arial" w:cs="Arial"/>
                <w:b/>
                <w:bCs/>
                <w:color w:val="000000"/>
                <w:sz w:val="20"/>
                <w:szCs w:val="20"/>
                <w:lang w:eastAsia="en-GB"/>
              </w:rPr>
              <w:t>Results/Outcomes</w:t>
            </w:r>
          </w:p>
        </w:tc>
        <w:tc>
          <w:tcPr>
            <w:tcW w:w="1000" w:type="pct"/>
            <w:tcBorders>
              <w:top w:val="single" w:sz="4" w:space="0" w:color="auto"/>
              <w:left w:val="nil"/>
              <w:bottom w:val="single" w:sz="4" w:space="0" w:color="auto"/>
              <w:right w:val="single" w:sz="4" w:space="0" w:color="auto"/>
            </w:tcBorders>
            <w:shd w:val="clear" w:color="000000" w:fill="C5D9F1"/>
            <w:noWrap/>
            <w:vAlign w:val="center"/>
            <w:hideMark/>
          </w:tcPr>
          <w:p w:rsidR="00A622E8" w:rsidRPr="00D449EF" w:rsidRDefault="00A622E8" w:rsidP="00A622E8">
            <w:pPr>
              <w:spacing w:after="0" w:line="240" w:lineRule="auto"/>
              <w:jc w:val="center"/>
              <w:rPr>
                <w:rFonts w:ascii="Arial" w:eastAsia="Times New Roman" w:hAnsi="Arial" w:cs="Arial"/>
                <w:b/>
                <w:bCs/>
                <w:color w:val="000000"/>
                <w:sz w:val="20"/>
                <w:szCs w:val="20"/>
                <w:lang w:eastAsia="en-GB"/>
              </w:rPr>
            </w:pPr>
            <w:r w:rsidRPr="00D449EF">
              <w:rPr>
                <w:rFonts w:ascii="Arial" w:eastAsia="Times New Roman" w:hAnsi="Arial" w:cs="Arial"/>
                <w:b/>
                <w:bCs/>
                <w:color w:val="000000"/>
                <w:sz w:val="20"/>
                <w:szCs w:val="20"/>
                <w:lang w:eastAsia="en-GB"/>
              </w:rPr>
              <w:t>Performance Monitoring</w:t>
            </w:r>
          </w:p>
        </w:tc>
      </w:tr>
      <w:tr w:rsidR="00A622E8" w:rsidRPr="00F47AC4" w:rsidTr="00D449EF">
        <w:trPr>
          <w:trHeight w:val="1200"/>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A622E8" w:rsidRPr="00D449EF" w:rsidRDefault="00A622E8" w:rsidP="00CD2377">
            <w:pPr>
              <w:spacing w:before="120" w:after="120" w:line="240" w:lineRule="auto"/>
              <w:jc w:val="center"/>
              <w:rPr>
                <w:rFonts w:ascii="Arial" w:eastAsia="Times New Roman" w:hAnsi="Arial" w:cs="Arial"/>
                <w:color w:val="000000"/>
                <w:sz w:val="20"/>
                <w:szCs w:val="20"/>
                <w:lang w:eastAsia="en-GB"/>
              </w:rPr>
            </w:pPr>
            <w:r w:rsidRPr="00D449EF">
              <w:rPr>
                <w:rFonts w:ascii="Arial" w:eastAsia="Times New Roman" w:hAnsi="Arial" w:cs="Arial"/>
                <w:color w:val="000000"/>
                <w:sz w:val="20"/>
                <w:szCs w:val="20"/>
                <w:lang w:eastAsia="en-GB"/>
              </w:rPr>
              <w:t>What does the Business Case aim to Change?</w:t>
            </w:r>
          </w:p>
        </w:tc>
        <w:tc>
          <w:tcPr>
            <w:tcW w:w="1000" w:type="pct"/>
            <w:tcBorders>
              <w:top w:val="nil"/>
              <w:left w:val="nil"/>
              <w:bottom w:val="single" w:sz="4" w:space="0" w:color="auto"/>
              <w:right w:val="single" w:sz="4" w:space="0" w:color="auto"/>
            </w:tcBorders>
            <w:shd w:val="clear" w:color="auto" w:fill="auto"/>
            <w:vAlign w:val="center"/>
            <w:hideMark/>
          </w:tcPr>
          <w:p w:rsidR="00A622E8" w:rsidRPr="00D449EF" w:rsidRDefault="00A622E8" w:rsidP="00CD2377">
            <w:pPr>
              <w:spacing w:before="120" w:after="120" w:line="240" w:lineRule="auto"/>
              <w:jc w:val="center"/>
              <w:rPr>
                <w:rFonts w:ascii="Arial" w:eastAsia="Times New Roman" w:hAnsi="Arial" w:cs="Arial"/>
                <w:color w:val="000000"/>
                <w:sz w:val="20"/>
                <w:szCs w:val="20"/>
                <w:lang w:eastAsia="en-GB"/>
              </w:rPr>
            </w:pPr>
            <w:r w:rsidRPr="00D449EF">
              <w:rPr>
                <w:rFonts w:ascii="Arial" w:eastAsia="Times New Roman" w:hAnsi="Arial" w:cs="Arial"/>
                <w:color w:val="000000"/>
                <w:sz w:val="20"/>
                <w:szCs w:val="20"/>
                <w:lang w:eastAsia="en-GB"/>
              </w:rPr>
              <w:t>What is it being used for?</w:t>
            </w:r>
          </w:p>
        </w:tc>
        <w:tc>
          <w:tcPr>
            <w:tcW w:w="1000" w:type="pct"/>
            <w:tcBorders>
              <w:top w:val="nil"/>
              <w:left w:val="nil"/>
              <w:bottom w:val="single" w:sz="4" w:space="0" w:color="auto"/>
              <w:right w:val="single" w:sz="4" w:space="0" w:color="auto"/>
            </w:tcBorders>
            <w:shd w:val="clear" w:color="auto" w:fill="auto"/>
            <w:vAlign w:val="center"/>
            <w:hideMark/>
          </w:tcPr>
          <w:p w:rsidR="00A622E8" w:rsidRPr="00D449EF" w:rsidRDefault="00A622E8" w:rsidP="00CD2377">
            <w:pPr>
              <w:spacing w:before="120" w:after="120" w:line="240" w:lineRule="auto"/>
              <w:jc w:val="center"/>
              <w:rPr>
                <w:rFonts w:ascii="Arial" w:eastAsia="Times New Roman" w:hAnsi="Arial" w:cs="Arial"/>
                <w:color w:val="000000"/>
                <w:sz w:val="20"/>
                <w:szCs w:val="20"/>
                <w:lang w:eastAsia="en-GB"/>
              </w:rPr>
            </w:pPr>
            <w:r w:rsidRPr="00D449EF">
              <w:rPr>
                <w:rFonts w:ascii="Arial" w:eastAsia="Times New Roman" w:hAnsi="Arial" w:cs="Arial"/>
                <w:color w:val="000000"/>
                <w:sz w:val="20"/>
                <w:szCs w:val="20"/>
                <w:lang w:eastAsia="en-GB"/>
              </w:rPr>
              <w:t>What are the details of what you want to buy?</w:t>
            </w:r>
          </w:p>
        </w:tc>
        <w:tc>
          <w:tcPr>
            <w:tcW w:w="1000" w:type="pct"/>
            <w:tcBorders>
              <w:top w:val="nil"/>
              <w:left w:val="nil"/>
              <w:bottom w:val="single" w:sz="4" w:space="0" w:color="auto"/>
              <w:right w:val="single" w:sz="4" w:space="0" w:color="auto"/>
            </w:tcBorders>
            <w:shd w:val="clear" w:color="auto" w:fill="auto"/>
            <w:vAlign w:val="center"/>
            <w:hideMark/>
          </w:tcPr>
          <w:p w:rsidR="00A622E8" w:rsidRPr="00D449EF" w:rsidRDefault="00A622E8" w:rsidP="00CD2377">
            <w:pPr>
              <w:spacing w:before="120" w:after="120" w:line="240" w:lineRule="auto"/>
              <w:jc w:val="center"/>
              <w:rPr>
                <w:rFonts w:ascii="Arial" w:eastAsia="Times New Roman" w:hAnsi="Arial" w:cs="Arial"/>
                <w:color w:val="000000"/>
                <w:sz w:val="20"/>
                <w:szCs w:val="20"/>
                <w:lang w:eastAsia="en-GB"/>
              </w:rPr>
            </w:pPr>
            <w:r w:rsidRPr="00D449EF">
              <w:rPr>
                <w:rFonts w:ascii="Arial" w:eastAsia="Times New Roman" w:hAnsi="Arial" w:cs="Arial"/>
                <w:color w:val="000000"/>
                <w:sz w:val="20"/>
                <w:szCs w:val="20"/>
                <w:lang w:eastAsia="en-GB"/>
              </w:rPr>
              <w:t>What do you need it to do?</w:t>
            </w:r>
          </w:p>
        </w:tc>
        <w:tc>
          <w:tcPr>
            <w:tcW w:w="1000" w:type="pct"/>
            <w:tcBorders>
              <w:top w:val="nil"/>
              <w:left w:val="nil"/>
              <w:bottom w:val="single" w:sz="4" w:space="0" w:color="auto"/>
              <w:right w:val="single" w:sz="4" w:space="0" w:color="auto"/>
            </w:tcBorders>
            <w:shd w:val="clear" w:color="auto" w:fill="auto"/>
            <w:vAlign w:val="center"/>
            <w:hideMark/>
          </w:tcPr>
          <w:p w:rsidR="00A622E8" w:rsidRPr="00D449EF" w:rsidRDefault="00A622E8" w:rsidP="00CD2377">
            <w:pPr>
              <w:spacing w:before="120" w:after="120" w:line="240" w:lineRule="auto"/>
              <w:jc w:val="center"/>
              <w:rPr>
                <w:rFonts w:ascii="Arial" w:eastAsia="Times New Roman" w:hAnsi="Arial" w:cs="Arial"/>
                <w:color w:val="000000"/>
                <w:sz w:val="20"/>
                <w:szCs w:val="20"/>
                <w:lang w:eastAsia="en-GB"/>
              </w:rPr>
            </w:pPr>
            <w:r w:rsidRPr="00D449EF">
              <w:rPr>
                <w:rFonts w:ascii="Arial" w:eastAsia="Times New Roman" w:hAnsi="Arial" w:cs="Arial"/>
                <w:color w:val="000000"/>
                <w:sz w:val="20"/>
                <w:szCs w:val="20"/>
                <w:lang w:eastAsia="en-GB"/>
              </w:rPr>
              <w:t>What will you monitor; it is doing what you need it to?</w:t>
            </w:r>
          </w:p>
        </w:tc>
      </w:tr>
      <w:tr w:rsidR="00A622E8" w:rsidRPr="00F47AC4" w:rsidTr="00CD2377">
        <w:trPr>
          <w:trHeight w:val="1599"/>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A622E8" w:rsidRPr="00D449EF" w:rsidRDefault="00A622E8" w:rsidP="00CD2377">
            <w:pPr>
              <w:spacing w:before="120" w:after="120" w:line="240" w:lineRule="auto"/>
              <w:jc w:val="center"/>
              <w:rPr>
                <w:rFonts w:ascii="Arial" w:eastAsia="Times New Roman" w:hAnsi="Arial" w:cs="Arial"/>
                <w:color w:val="000000"/>
                <w:sz w:val="20"/>
                <w:szCs w:val="20"/>
                <w:lang w:eastAsia="en-GB"/>
              </w:rPr>
            </w:pPr>
            <w:r w:rsidRPr="00D449EF">
              <w:rPr>
                <w:rFonts w:ascii="Arial" w:eastAsia="Times New Roman" w:hAnsi="Arial" w:cs="Arial"/>
                <w:color w:val="000000"/>
                <w:sz w:val="20"/>
                <w:szCs w:val="20"/>
                <w:lang w:eastAsia="en-GB"/>
              </w:rPr>
              <w:t>This section should provide a synopsis of the business case, detailing benefits and estimated costs, risks and timescales. It should relate to the GCU Mission and Vision. And provide details of any avoided costs and monetary energy/operational efficiencies.</w:t>
            </w:r>
          </w:p>
        </w:tc>
        <w:tc>
          <w:tcPr>
            <w:tcW w:w="1000" w:type="pct"/>
            <w:tcBorders>
              <w:top w:val="nil"/>
              <w:left w:val="nil"/>
              <w:bottom w:val="single" w:sz="4" w:space="0" w:color="auto"/>
              <w:right w:val="single" w:sz="4" w:space="0" w:color="auto"/>
            </w:tcBorders>
            <w:shd w:val="clear" w:color="auto" w:fill="auto"/>
            <w:vAlign w:val="center"/>
            <w:hideMark/>
          </w:tcPr>
          <w:p w:rsidR="00A622E8" w:rsidRPr="00D449EF" w:rsidRDefault="00A622E8" w:rsidP="00CD2377">
            <w:pPr>
              <w:spacing w:before="120" w:after="120" w:line="240" w:lineRule="auto"/>
              <w:jc w:val="center"/>
              <w:rPr>
                <w:rFonts w:ascii="Arial" w:eastAsia="Times New Roman" w:hAnsi="Arial" w:cs="Arial"/>
                <w:color w:val="000000"/>
                <w:sz w:val="20"/>
                <w:szCs w:val="20"/>
                <w:lang w:eastAsia="en-GB"/>
              </w:rPr>
            </w:pPr>
            <w:r w:rsidRPr="00D449EF">
              <w:rPr>
                <w:rFonts w:ascii="Arial" w:eastAsia="Times New Roman" w:hAnsi="Arial" w:cs="Arial"/>
                <w:color w:val="000000"/>
                <w:sz w:val="20"/>
                <w:szCs w:val="20"/>
                <w:lang w:eastAsia="en-GB"/>
              </w:rPr>
              <w:t>In general, a brief description of the goods/services, when do you need the services to start or the quantity of goods, what are the  estimated dates of delivered/commissioned, is there new legislation that requires you to buy goods or employ services.</w:t>
            </w:r>
          </w:p>
          <w:p w:rsidR="00A622E8" w:rsidRPr="00D449EF" w:rsidRDefault="00A622E8" w:rsidP="00CD2377">
            <w:pPr>
              <w:spacing w:before="120" w:after="120" w:line="240" w:lineRule="auto"/>
              <w:jc w:val="center"/>
              <w:rPr>
                <w:rFonts w:ascii="Arial" w:eastAsia="Times New Roman" w:hAnsi="Arial" w:cs="Arial"/>
                <w:color w:val="000000"/>
                <w:sz w:val="20"/>
                <w:szCs w:val="20"/>
                <w:lang w:eastAsia="en-GB"/>
              </w:rPr>
            </w:pPr>
            <w:r w:rsidRPr="00D449EF">
              <w:rPr>
                <w:rFonts w:ascii="Arial" w:eastAsia="Times New Roman" w:hAnsi="Arial" w:cs="Arial"/>
                <w:color w:val="000000"/>
                <w:sz w:val="20"/>
                <w:szCs w:val="20"/>
                <w:lang w:eastAsia="en-GB"/>
              </w:rPr>
              <w:t>Who are the Key Stakeholders?</w:t>
            </w:r>
          </w:p>
        </w:tc>
        <w:tc>
          <w:tcPr>
            <w:tcW w:w="1000" w:type="pct"/>
            <w:tcBorders>
              <w:top w:val="nil"/>
              <w:left w:val="nil"/>
              <w:bottom w:val="single" w:sz="4" w:space="0" w:color="auto"/>
              <w:right w:val="single" w:sz="4" w:space="0" w:color="auto"/>
            </w:tcBorders>
            <w:shd w:val="clear" w:color="auto" w:fill="auto"/>
            <w:vAlign w:val="center"/>
            <w:hideMark/>
          </w:tcPr>
          <w:p w:rsidR="00A622E8" w:rsidRPr="00D449EF" w:rsidRDefault="00A622E8" w:rsidP="00CD2377">
            <w:pPr>
              <w:spacing w:before="120" w:after="120" w:line="240" w:lineRule="auto"/>
              <w:jc w:val="center"/>
              <w:rPr>
                <w:rFonts w:ascii="Arial" w:eastAsia="Times New Roman" w:hAnsi="Arial" w:cs="Arial"/>
                <w:color w:val="000000"/>
                <w:sz w:val="20"/>
                <w:szCs w:val="20"/>
                <w:lang w:eastAsia="en-GB"/>
              </w:rPr>
            </w:pPr>
            <w:r w:rsidRPr="00D449EF">
              <w:rPr>
                <w:rFonts w:ascii="Arial" w:eastAsia="Times New Roman" w:hAnsi="Arial" w:cs="Arial"/>
                <w:color w:val="000000"/>
                <w:sz w:val="20"/>
                <w:szCs w:val="20"/>
                <w:lang w:eastAsia="en-GB"/>
              </w:rPr>
              <w:t>This section requires as much detail as possible, include a description of the Services/Goods/Works:-</w:t>
            </w:r>
          </w:p>
          <w:p w:rsidR="00A622E8" w:rsidRPr="00D449EF" w:rsidRDefault="00A622E8" w:rsidP="00CD2377">
            <w:pPr>
              <w:pStyle w:val="ListParagraph"/>
              <w:numPr>
                <w:ilvl w:val="0"/>
                <w:numId w:val="7"/>
              </w:numPr>
              <w:spacing w:before="120" w:after="120" w:line="240" w:lineRule="auto"/>
              <w:jc w:val="center"/>
              <w:rPr>
                <w:rFonts w:ascii="Arial" w:eastAsia="Times New Roman" w:hAnsi="Arial" w:cs="Arial"/>
                <w:color w:val="000000"/>
                <w:sz w:val="20"/>
                <w:szCs w:val="20"/>
                <w:lang w:eastAsia="en-GB"/>
              </w:rPr>
            </w:pPr>
            <w:proofErr w:type="gramStart"/>
            <w:r w:rsidRPr="00D449EF">
              <w:rPr>
                <w:rFonts w:ascii="Arial" w:eastAsia="Times New Roman" w:hAnsi="Arial" w:cs="Arial"/>
                <w:color w:val="000000"/>
                <w:sz w:val="20"/>
                <w:szCs w:val="20"/>
                <w:lang w:eastAsia="en-GB"/>
              </w:rPr>
              <w:t>a</w:t>
            </w:r>
            <w:proofErr w:type="gramEnd"/>
            <w:r w:rsidRPr="00D449EF">
              <w:rPr>
                <w:rFonts w:ascii="Arial" w:eastAsia="Times New Roman" w:hAnsi="Arial" w:cs="Arial"/>
                <w:color w:val="000000"/>
                <w:sz w:val="20"/>
                <w:szCs w:val="20"/>
                <w:lang w:eastAsia="en-GB"/>
              </w:rPr>
              <w:t xml:space="preserve"> description of the services required, work description and/or description of the equipment/items you want to buy.</w:t>
            </w:r>
          </w:p>
        </w:tc>
        <w:tc>
          <w:tcPr>
            <w:tcW w:w="1000" w:type="pct"/>
            <w:tcBorders>
              <w:top w:val="nil"/>
              <w:left w:val="nil"/>
              <w:bottom w:val="single" w:sz="4" w:space="0" w:color="auto"/>
              <w:right w:val="single" w:sz="4" w:space="0" w:color="auto"/>
            </w:tcBorders>
            <w:shd w:val="clear" w:color="auto" w:fill="auto"/>
            <w:vAlign w:val="center"/>
            <w:hideMark/>
          </w:tcPr>
          <w:p w:rsidR="00A622E8" w:rsidRPr="00D449EF" w:rsidRDefault="00A622E8" w:rsidP="00CD2377">
            <w:pPr>
              <w:spacing w:before="120" w:after="120" w:line="240" w:lineRule="auto"/>
              <w:jc w:val="center"/>
              <w:rPr>
                <w:rFonts w:ascii="Arial" w:eastAsia="Times New Roman" w:hAnsi="Arial" w:cs="Arial"/>
                <w:color w:val="000000"/>
                <w:sz w:val="20"/>
                <w:szCs w:val="20"/>
                <w:lang w:eastAsia="en-GB"/>
              </w:rPr>
            </w:pPr>
            <w:r w:rsidRPr="00D449EF">
              <w:rPr>
                <w:rFonts w:ascii="Arial" w:eastAsia="Times New Roman" w:hAnsi="Arial" w:cs="Arial"/>
                <w:color w:val="000000"/>
                <w:sz w:val="20"/>
                <w:szCs w:val="20"/>
                <w:lang w:eastAsia="en-GB"/>
              </w:rPr>
              <w:t>This section should include details of specific questions and weightings you want to ask the Suppliers to ensure you can assess the capabilities of the Supplier against your detailed specification. Your most important requirements should be weighted higher; this will result in the Supplier who has met the criteria the best, achieving a high score.</w:t>
            </w:r>
          </w:p>
        </w:tc>
        <w:tc>
          <w:tcPr>
            <w:tcW w:w="1000" w:type="pct"/>
            <w:tcBorders>
              <w:top w:val="nil"/>
              <w:left w:val="nil"/>
              <w:bottom w:val="single" w:sz="4" w:space="0" w:color="auto"/>
              <w:right w:val="single" w:sz="4" w:space="0" w:color="auto"/>
            </w:tcBorders>
            <w:shd w:val="clear" w:color="auto" w:fill="auto"/>
            <w:vAlign w:val="center"/>
            <w:hideMark/>
          </w:tcPr>
          <w:p w:rsidR="00A622E8" w:rsidRPr="00D449EF" w:rsidRDefault="00A622E8" w:rsidP="00CD2377">
            <w:pPr>
              <w:spacing w:before="120" w:after="120" w:line="240" w:lineRule="auto"/>
              <w:jc w:val="center"/>
              <w:rPr>
                <w:rFonts w:ascii="Arial" w:eastAsia="Times New Roman" w:hAnsi="Arial" w:cs="Arial"/>
                <w:color w:val="000000"/>
                <w:sz w:val="20"/>
                <w:szCs w:val="20"/>
                <w:lang w:eastAsia="en-GB"/>
              </w:rPr>
            </w:pPr>
            <w:r w:rsidRPr="00D449EF">
              <w:rPr>
                <w:rFonts w:ascii="Arial" w:eastAsia="Times New Roman" w:hAnsi="Arial" w:cs="Arial"/>
                <w:color w:val="000000"/>
                <w:sz w:val="20"/>
                <w:szCs w:val="20"/>
                <w:lang w:eastAsia="en-GB"/>
              </w:rPr>
              <w:t>What information/data do you need to monitor?</w:t>
            </w:r>
          </w:p>
          <w:p w:rsidR="00A622E8" w:rsidRPr="00D449EF" w:rsidRDefault="00A622E8" w:rsidP="00CD2377">
            <w:pPr>
              <w:spacing w:before="120" w:after="120" w:line="240" w:lineRule="auto"/>
              <w:jc w:val="center"/>
              <w:rPr>
                <w:rFonts w:ascii="Arial" w:eastAsia="Times New Roman" w:hAnsi="Arial" w:cs="Arial"/>
                <w:color w:val="000000"/>
                <w:sz w:val="20"/>
                <w:szCs w:val="20"/>
                <w:lang w:eastAsia="en-GB"/>
              </w:rPr>
            </w:pPr>
            <w:r w:rsidRPr="00D449EF">
              <w:rPr>
                <w:rFonts w:ascii="Arial" w:eastAsia="Times New Roman" w:hAnsi="Arial" w:cs="Arial"/>
                <w:color w:val="000000"/>
                <w:sz w:val="20"/>
                <w:szCs w:val="20"/>
                <w:lang w:eastAsia="en-GB"/>
              </w:rPr>
              <w:t>How and when will you receive this information?</w:t>
            </w:r>
          </w:p>
          <w:p w:rsidR="00A622E8" w:rsidRPr="00D449EF" w:rsidRDefault="00A622E8" w:rsidP="00CD2377">
            <w:pPr>
              <w:spacing w:before="120" w:after="120" w:line="240" w:lineRule="auto"/>
              <w:jc w:val="center"/>
              <w:rPr>
                <w:rFonts w:ascii="Arial" w:eastAsia="Times New Roman" w:hAnsi="Arial" w:cs="Arial"/>
                <w:color w:val="000000"/>
                <w:sz w:val="20"/>
                <w:szCs w:val="20"/>
                <w:lang w:eastAsia="en-GB"/>
              </w:rPr>
            </w:pPr>
            <w:r w:rsidRPr="00D449EF">
              <w:rPr>
                <w:rFonts w:ascii="Arial" w:eastAsia="Times New Roman" w:hAnsi="Arial" w:cs="Arial"/>
                <w:color w:val="000000"/>
                <w:sz w:val="20"/>
                <w:szCs w:val="20"/>
                <w:lang w:eastAsia="en-GB"/>
              </w:rPr>
              <w:t>Will the detail and format allow you to substantiate and provide evidence the initial benefits of the Business case are being realised.</w:t>
            </w:r>
          </w:p>
          <w:p w:rsidR="00A622E8" w:rsidRPr="00D449EF" w:rsidRDefault="00A622E8" w:rsidP="00CD2377">
            <w:pPr>
              <w:spacing w:before="120" w:after="120" w:line="240" w:lineRule="auto"/>
              <w:jc w:val="center"/>
              <w:rPr>
                <w:rFonts w:ascii="Arial" w:eastAsia="Times New Roman" w:hAnsi="Arial" w:cs="Arial"/>
                <w:color w:val="000000"/>
                <w:sz w:val="20"/>
                <w:szCs w:val="20"/>
                <w:lang w:eastAsia="en-GB"/>
              </w:rPr>
            </w:pPr>
          </w:p>
        </w:tc>
      </w:tr>
      <w:tr w:rsidR="00A622E8" w:rsidRPr="00F47AC4" w:rsidTr="00D449EF">
        <w:trPr>
          <w:trHeight w:val="2590"/>
        </w:trPr>
        <w:tc>
          <w:tcPr>
            <w:tcW w:w="1000" w:type="pct"/>
            <w:tcBorders>
              <w:top w:val="nil"/>
              <w:left w:val="single" w:sz="4" w:space="0" w:color="auto"/>
              <w:bottom w:val="single" w:sz="4" w:space="0" w:color="auto"/>
              <w:right w:val="single" w:sz="4" w:space="0" w:color="auto"/>
            </w:tcBorders>
            <w:shd w:val="clear" w:color="000000" w:fill="C5D9F1"/>
            <w:vAlign w:val="center"/>
            <w:hideMark/>
          </w:tcPr>
          <w:p w:rsidR="00A622E8" w:rsidRPr="00D449EF" w:rsidRDefault="00A622E8" w:rsidP="00CD2377">
            <w:pPr>
              <w:spacing w:before="120" w:after="120" w:line="240" w:lineRule="auto"/>
              <w:jc w:val="center"/>
              <w:rPr>
                <w:rFonts w:ascii="Arial" w:eastAsia="Times New Roman" w:hAnsi="Arial" w:cs="Arial"/>
                <w:color w:val="000000"/>
                <w:sz w:val="20"/>
                <w:szCs w:val="20"/>
                <w:lang w:eastAsia="en-GB"/>
              </w:rPr>
            </w:pPr>
          </w:p>
        </w:tc>
        <w:tc>
          <w:tcPr>
            <w:tcW w:w="1000" w:type="pct"/>
            <w:tcBorders>
              <w:top w:val="nil"/>
              <w:left w:val="nil"/>
              <w:bottom w:val="single" w:sz="4" w:space="0" w:color="auto"/>
              <w:right w:val="single" w:sz="4" w:space="0" w:color="auto"/>
            </w:tcBorders>
            <w:shd w:val="clear" w:color="auto" w:fill="auto"/>
            <w:vAlign w:val="center"/>
            <w:hideMark/>
          </w:tcPr>
          <w:p w:rsidR="00A622E8" w:rsidRPr="00D449EF" w:rsidRDefault="00A622E8" w:rsidP="00CD2377">
            <w:pPr>
              <w:spacing w:before="120" w:after="120" w:line="240" w:lineRule="auto"/>
              <w:jc w:val="center"/>
              <w:rPr>
                <w:rFonts w:ascii="Arial" w:eastAsia="Times New Roman" w:hAnsi="Arial" w:cs="Arial"/>
                <w:color w:val="000000"/>
                <w:sz w:val="20"/>
                <w:szCs w:val="20"/>
                <w:lang w:eastAsia="en-GB"/>
              </w:rPr>
            </w:pPr>
            <w:r w:rsidRPr="00D449EF">
              <w:rPr>
                <w:rFonts w:ascii="Arial" w:eastAsia="Times New Roman" w:hAnsi="Arial" w:cs="Arial"/>
                <w:color w:val="000000"/>
                <w:sz w:val="20"/>
                <w:szCs w:val="20"/>
                <w:lang w:eastAsia="en-GB"/>
              </w:rPr>
              <w:t>Does the scope replicate the details in the business case?</w:t>
            </w:r>
          </w:p>
        </w:tc>
        <w:tc>
          <w:tcPr>
            <w:tcW w:w="1000" w:type="pct"/>
            <w:tcBorders>
              <w:top w:val="nil"/>
              <w:left w:val="nil"/>
              <w:bottom w:val="single" w:sz="4" w:space="0" w:color="auto"/>
              <w:right w:val="single" w:sz="4" w:space="0" w:color="auto"/>
            </w:tcBorders>
            <w:shd w:val="clear" w:color="auto" w:fill="auto"/>
            <w:vAlign w:val="center"/>
            <w:hideMark/>
          </w:tcPr>
          <w:p w:rsidR="00A622E8" w:rsidRPr="00D449EF" w:rsidRDefault="00A622E8" w:rsidP="00CD2377">
            <w:pPr>
              <w:spacing w:before="120" w:after="120" w:line="240" w:lineRule="auto"/>
              <w:jc w:val="center"/>
              <w:rPr>
                <w:rFonts w:ascii="Arial" w:eastAsia="Times New Roman" w:hAnsi="Arial" w:cs="Arial"/>
                <w:color w:val="000000"/>
                <w:sz w:val="20"/>
                <w:szCs w:val="20"/>
                <w:lang w:eastAsia="en-GB"/>
              </w:rPr>
            </w:pPr>
            <w:r w:rsidRPr="00D449EF">
              <w:rPr>
                <w:rFonts w:ascii="Arial" w:eastAsia="Times New Roman" w:hAnsi="Arial" w:cs="Arial"/>
                <w:color w:val="000000"/>
                <w:sz w:val="20"/>
                <w:szCs w:val="20"/>
                <w:lang w:eastAsia="en-GB"/>
              </w:rPr>
              <w:t>Does the specification fully describe the goods/services described in the scope; does this cover additional value added services to ensure the benefits highlighted in the Business Case can be achieved.</w:t>
            </w:r>
          </w:p>
        </w:tc>
        <w:tc>
          <w:tcPr>
            <w:tcW w:w="1000" w:type="pct"/>
            <w:tcBorders>
              <w:top w:val="nil"/>
              <w:left w:val="nil"/>
              <w:bottom w:val="single" w:sz="4" w:space="0" w:color="auto"/>
              <w:right w:val="single" w:sz="4" w:space="0" w:color="auto"/>
            </w:tcBorders>
            <w:shd w:val="clear" w:color="auto" w:fill="auto"/>
            <w:vAlign w:val="center"/>
            <w:hideMark/>
          </w:tcPr>
          <w:p w:rsidR="00A622E8" w:rsidRPr="00D449EF" w:rsidRDefault="00A622E8" w:rsidP="00CD2377">
            <w:pPr>
              <w:spacing w:before="120" w:after="120" w:line="240" w:lineRule="auto"/>
              <w:jc w:val="center"/>
              <w:rPr>
                <w:rFonts w:ascii="Arial" w:eastAsia="Times New Roman" w:hAnsi="Arial" w:cs="Arial"/>
                <w:color w:val="000000"/>
                <w:sz w:val="20"/>
                <w:szCs w:val="20"/>
                <w:lang w:eastAsia="en-GB"/>
              </w:rPr>
            </w:pPr>
            <w:r w:rsidRPr="00D449EF">
              <w:rPr>
                <w:rFonts w:ascii="Arial" w:eastAsia="Times New Roman" w:hAnsi="Arial" w:cs="Arial"/>
                <w:color w:val="000000"/>
                <w:sz w:val="20"/>
                <w:szCs w:val="20"/>
                <w:lang w:eastAsia="en-GB"/>
              </w:rPr>
              <w:t>Do your questions extract the information you need from the Suppliers on their capabilities or products to ensure you can assess their compatibility and help you deliver the desired results highlighted in the business case?</w:t>
            </w:r>
          </w:p>
        </w:tc>
        <w:tc>
          <w:tcPr>
            <w:tcW w:w="1000" w:type="pct"/>
            <w:tcBorders>
              <w:top w:val="nil"/>
              <w:left w:val="nil"/>
              <w:bottom w:val="single" w:sz="4" w:space="0" w:color="auto"/>
              <w:right w:val="single" w:sz="4" w:space="0" w:color="auto"/>
            </w:tcBorders>
            <w:shd w:val="clear" w:color="auto" w:fill="auto"/>
            <w:vAlign w:val="center"/>
            <w:hideMark/>
          </w:tcPr>
          <w:p w:rsidR="00A622E8" w:rsidRPr="00D449EF" w:rsidRDefault="00A622E8" w:rsidP="00CD2377">
            <w:pPr>
              <w:spacing w:before="120" w:after="120" w:line="240" w:lineRule="auto"/>
              <w:jc w:val="center"/>
              <w:rPr>
                <w:rFonts w:ascii="Arial" w:eastAsia="Times New Roman" w:hAnsi="Arial" w:cs="Arial"/>
                <w:color w:val="000000"/>
                <w:sz w:val="20"/>
                <w:szCs w:val="20"/>
                <w:lang w:eastAsia="en-GB"/>
              </w:rPr>
            </w:pPr>
            <w:r w:rsidRPr="00D449EF">
              <w:rPr>
                <w:rFonts w:ascii="Arial" w:eastAsia="Times New Roman" w:hAnsi="Arial" w:cs="Arial"/>
                <w:color w:val="000000"/>
                <w:sz w:val="20"/>
                <w:szCs w:val="20"/>
                <w:lang w:eastAsia="en-GB"/>
              </w:rPr>
              <w:t>Do the measures you have in place to monitor and report ensure the products/services are meeting your desired outcomes and as intended in the original business case?</w:t>
            </w:r>
          </w:p>
          <w:p w:rsidR="00A622E8" w:rsidRPr="00D449EF" w:rsidRDefault="00A622E8" w:rsidP="00CD2377">
            <w:pPr>
              <w:spacing w:before="120" w:after="120" w:line="240" w:lineRule="auto"/>
              <w:jc w:val="center"/>
              <w:rPr>
                <w:rFonts w:ascii="Arial" w:eastAsia="Times New Roman" w:hAnsi="Arial" w:cs="Arial"/>
                <w:color w:val="000000"/>
                <w:sz w:val="20"/>
                <w:szCs w:val="20"/>
                <w:lang w:eastAsia="en-GB"/>
              </w:rPr>
            </w:pPr>
          </w:p>
        </w:tc>
      </w:tr>
    </w:tbl>
    <w:p w:rsidR="00F47AC4" w:rsidRPr="00F47AC4" w:rsidRDefault="00F47AC4" w:rsidP="00F47AC4"/>
    <w:p w:rsidR="00F47AC4" w:rsidRPr="00F47AC4" w:rsidRDefault="00A622E8" w:rsidP="00F47AC4">
      <w:r w:rsidRPr="00F47AC4">
        <w:rPr>
          <w:noProof/>
          <w:sz w:val="28"/>
          <w:szCs w:val="28"/>
          <w:u w:val="single"/>
          <w:lang w:eastAsia="en-GB"/>
        </w:rPr>
        <mc:AlternateContent>
          <mc:Choice Requires="wps">
            <w:drawing>
              <wp:anchor distT="0" distB="0" distL="114300" distR="114300" simplePos="0" relativeHeight="251659264" behindDoc="0" locked="0" layoutInCell="1" allowOverlap="1" wp14:anchorId="60852768" wp14:editId="6F459F6A">
                <wp:simplePos x="0" y="0"/>
                <wp:positionH relativeFrom="column">
                  <wp:posOffset>-556592</wp:posOffset>
                </wp:positionH>
                <wp:positionV relativeFrom="paragraph">
                  <wp:posOffset>134648</wp:posOffset>
                </wp:positionV>
                <wp:extent cx="802861" cy="318052"/>
                <wp:effectExtent l="0" t="19050" r="35560" b="44450"/>
                <wp:wrapNone/>
                <wp:docPr id="1" name="Right Arrow 1"/>
                <wp:cNvGraphicFramePr/>
                <a:graphic xmlns:a="http://schemas.openxmlformats.org/drawingml/2006/main">
                  <a:graphicData uri="http://schemas.microsoft.com/office/word/2010/wordprocessingShape">
                    <wps:wsp>
                      <wps:cNvSpPr/>
                      <wps:spPr>
                        <a:xfrm>
                          <a:off x="0" y="0"/>
                          <a:ext cx="802861" cy="31805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43.85pt;margin-top:10.6pt;width:63.2pt;height:2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" adj="17322" fillcolor="#4f81bd [3204]" strokecolor="#243f60 [1604]" strokeweight="2pt"/>
            </w:pict>
          </mc:Fallback>
        </mc:AlternateContent>
      </w:r>
    </w:p>
    <w:p w:rsidR="00F47AC4" w:rsidRPr="00F47AC4" w:rsidRDefault="00F47AC4" w:rsidP="00F47AC4"/>
    <w:p w:rsidR="00F47AC4" w:rsidRPr="00F47AC4" w:rsidRDefault="00F47AC4" w:rsidP="00F47AC4"/>
    <w:p w:rsidR="00F47AC4" w:rsidRPr="00F47AC4" w:rsidRDefault="00F47AC4" w:rsidP="00F47AC4"/>
    <w:p w:rsidR="00F47AC4" w:rsidRPr="00F47AC4" w:rsidRDefault="00F47AC4" w:rsidP="00F47AC4"/>
    <w:p w:rsidR="00F47AC4" w:rsidRPr="00F47AC4" w:rsidRDefault="00F47AC4" w:rsidP="00F47AC4"/>
    <w:p w:rsidR="00F47AC4" w:rsidRPr="00F47AC4" w:rsidRDefault="00F47AC4" w:rsidP="00F47AC4"/>
    <w:p w:rsidR="00F47AC4" w:rsidRDefault="00F47AC4" w:rsidP="00F47AC4"/>
    <w:p w:rsidR="00F47AC4" w:rsidRDefault="00793540" w:rsidP="00F47AC4">
      <w:pPr>
        <w:jc w:val="right"/>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8126234</wp:posOffset>
                </wp:positionH>
                <wp:positionV relativeFrom="paragraph">
                  <wp:posOffset>2558884</wp:posOffset>
                </wp:positionV>
                <wp:extent cx="826936" cy="644056"/>
                <wp:effectExtent l="0" t="0" r="11430" b="22860"/>
                <wp:wrapNone/>
                <wp:docPr id="2" name="Curved Up Arrow 2"/>
                <wp:cNvGraphicFramePr/>
                <a:graphic xmlns:a="http://schemas.openxmlformats.org/drawingml/2006/main">
                  <a:graphicData uri="http://schemas.microsoft.com/office/word/2010/wordprocessingShape">
                    <wps:wsp>
                      <wps:cNvSpPr/>
                      <wps:spPr>
                        <a:xfrm>
                          <a:off x="0" y="0"/>
                          <a:ext cx="826936" cy="644056"/>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Up Arrow 2" o:spid="_x0000_s1026" type="#_x0000_t104" style="position:absolute;margin-left:639.85pt;margin-top:201.5pt;width:65.1pt;height:5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" adj="13188,19497,5400" fillcolor="#4f81bd [3204]" strokecolor="#243f60 [1604]" strokeweight="2pt"/>
            </w:pict>
          </mc:Fallback>
        </mc:AlternateContent>
      </w:r>
    </w:p>
    <w:p w:rsidR="00F47AC4" w:rsidRDefault="00F47AC4" w:rsidP="00F47AC4">
      <w:pPr>
        <w:sectPr w:rsidR="00F47AC4" w:rsidSect="00505EF5">
          <w:headerReference w:type="default" r:id="rId9"/>
          <w:pgSz w:w="16838" w:h="11906" w:orient="landscape"/>
          <w:pgMar w:top="1276" w:right="1440" w:bottom="1440" w:left="1440" w:header="709" w:footer="709" w:gutter="0"/>
          <w:cols w:space="708"/>
          <w:docGrid w:linePitch="360"/>
        </w:sectPr>
      </w:pPr>
    </w:p>
    <w:p w:rsidR="005D3F32" w:rsidRDefault="005D3F32" w:rsidP="00302093">
      <w:pPr>
        <w:rPr>
          <w:rFonts w:ascii="Arial" w:hAnsi="Arial" w:cs="Arial"/>
          <w:u w:val="single"/>
        </w:rPr>
      </w:pPr>
      <w:r>
        <w:rPr>
          <w:rFonts w:ascii="Arial" w:hAnsi="Arial" w:cs="Arial"/>
          <w:u w:val="single"/>
        </w:rPr>
        <w:lastRenderedPageBreak/>
        <w:t>Glasgow Caledonian University</w:t>
      </w:r>
    </w:p>
    <w:p w:rsidR="00D449EF" w:rsidRPr="00D449EF" w:rsidRDefault="00D449EF" w:rsidP="00D449EF">
      <w:pPr>
        <w:jc w:val="both"/>
        <w:rPr>
          <w:rFonts w:ascii="Arial" w:hAnsi="Arial" w:cs="Arial"/>
        </w:rPr>
      </w:pPr>
      <w:r w:rsidRPr="00D449EF">
        <w:rPr>
          <w:rFonts w:ascii="Arial" w:hAnsi="Arial" w:cs="Arial"/>
        </w:rPr>
        <w:t xml:space="preserve">A well compiled Specification should be sufficiently detailed to ensure the product or service fits the User’s needs. If the Specification is unclear or lacks detail </w:t>
      </w:r>
      <w:r w:rsidR="00FD0DDF">
        <w:rPr>
          <w:rFonts w:ascii="Arial" w:hAnsi="Arial" w:cs="Arial"/>
        </w:rPr>
        <w:t xml:space="preserve">this </w:t>
      </w:r>
      <w:r w:rsidRPr="00D449EF">
        <w:rPr>
          <w:rFonts w:ascii="Arial" w:hAnsi="Arial" w:cs="Arial"/>
        </w:rPr>
        <w:t>could result in the objectives of the business case not being met, wasted money and time, unsuitable ten</w:t>
      </w:r>
      <w:r>
        <w:rPr>
          <w:rFonts w:ascii="Arial" w:hAnsi="Arial" w:cs="Arial"/>
        </w:rPr>
        <w:t>derers and bids. Mis</w:t>
      </w:r>
      <w:r w:rsidRPr="00D449EF">
        <w:rPr>
          <w:rFonts w:ascii="Arial" w:hAnsi="Arial" w:cs="Arial"/>
        </w:rPr>
        <w:t xml:space="preserve">interpretation of requirements </w:t>
      </w:r>
      <w:r>
        <w:rPr>
          <w:rFonts w:ascii="Arial" w:hAnsi="Arial" w:cs="Arial"/>
        </w:rPr>
        <w:t>would result</w:t>
      </w:r>
      <w:r w:rsidRPr="00D449EF">
        <w:rPr>
          <w:rFonts w:ascii="Arial" w:hAnsi="Arial" w:cs="Arial"/>
        </w:rPr>
        <w:t xml:space="preserve"> in difficulties evaluating bids which can lead to unsuitable products and services being supplied. Ultimately an incorrect Specification could result in claims of unfair treatment of the Suppliers and inflict lengthy delays and</w:t>
      </w:r>
      <w:r>
        <w:rPr>
          <w:rFonts w:ascii="Arial" w:hAnsi="Arial" w:cs="Arial"/>
        </w:rPr>
        <w:t xml:space="preserve"> possible</w:t>
      </w:r>
      <w:r w:rsidRPr="00D449EF">
        <w:rPr>
          <w:rFonts w:ascii="Arial" w:hAnsi="Arial" w:cs="Arial"/>
        </w:rPr>
        <w:t xml:space="preserve"> reputational</w:t>
      </w:r>
      <w:r>
        <w:rPr>
          <w:rFonts w:ascii="Arial" w:hAnsi="Arial" w:cs="Arial"/>
        </w:rPr>
        <w:t xml:space="preserve"> damage.</w:t>
      </w:r>
    </w:p>
    <w:p w:rsidR="00302093" w:rsidRPr="009D2925" w:rsidRDefault="00F47AC4" w:rsidP="00302093">
      <w:pPr>
        <w:rPr>
          <w:rFonts w:ascii="Arial" w:hAnsi="Arial" w:cs="Arial"/>
          <w:u w:val="single"/>
        </w:rPr>
      </w:pPr>
      <w:r w:rsidRPr="009D2925">
        <w:rPr>
          <w:rFonts w:ascii="Arial" w:hAnsi="Arial" w:cs="Arial"/>
          <w:u w:val="single"/>
        </w:rPr>
        <w:t>Specification Template</w:t>
      </w:r>
    </w:p>
    <w:p w:rsidR="00BC7CDB" w:rsidRDefault="002D77BF" w:rsidP="00E31AA4">
      <w:pPr>
        <w:jc w:val="both"/>
        <w:rPr>
          <w:rFonts w:ascii="Arial" w:hAnsi="Arial" w:cs="Arial"/>
        </w:rPr>
      </w:pPr>
      <w:r w:rsidRPr="009D2925">
        <w:rPr>
          <w:rFonts w:ascii="Arial" w:hAnsi="Arial" w:cs="Arial"/>
        </w:rPr>
        <w:t xml:space="preserve">Please </w:t>
      </w:r>
      <w:r w:rsidR="00BC7CDB" w:rsidRPr="009D2925">
        <w:rPr>
          <w:rFonts w:ascii="Arial" w:hAnsi="Arial" w:cs="Arial"/>
        </w:rPr>
        <w:t xml:space="preserve">refer to the table above to complete the sections below, please provide as much information as possible, the more detailed the specification is to the potential bidders, it is less likely for any ambiguity, which will result in a realistic bid. </w:t>
      </w:r>
    </w:p>
    <w:tbl>
      <w:tblPr>
        <w:tblStyle w:val="TableGrid"/>
        <w:tblW w:w="0" w:type="auto"/>
        <w:tblInd w:w="108" w:type="dxa"/>
        <w:tblLook w:val="04A0" w:firstRow="1" w:lastRow="0" w:firstColumn="1" w:lastColumn="0" w:noHBand="0" w:noVBand="1"/>
      </w:tblPr>
      <w:tblGrid>
        <w:gridCol w:w="4513"/>
        <w:gridCol w:w="4621"/>
      </w:tblGrid>
      <w:tr w:rsidR="005D3F32" w:rsidTr="009C6BAD">
        <w:tc>
          <w:tcPr>
            <w:tcW w:w="4513" w:type="dxa"/>
            <w:shd w:val="clear" w:color="auto" w:fill="D9D9D9" w:themeFill="background1" w:themeFillShade="D9"/>
          </w:tcPr>
          <w:p w:rsidR="005D3F32" w:rsidRDefault="005D3F32" w:rsidP="00E31AA4">
            <w:pPr>
              <w:jc w:val="both"/>
              <w:rPr>
                <w:rFonts w:ascii="Arial" w:hAnsi="Arial" w:cs="Arial"/>
              </w:rPr>
            </w:pPr>
            <w:r>
              <w:rPr>
                <w:rFonts w:ascii="Arial" w:hAnsi="Arial" w:cs="Arial"/>
              </w:rPr>
              <w:t>Proposer</w:t>
            </w:r>
          </w:p>
        </w:tc>
        <w:tc>
          <w:tcPr>
            <w:tcW w:w="4621" w:type="dxa"/>
          </w:tcPr>
          <w:p w:rsidR="005D3F32" w:rsidRDefault="00F331ED" w:rsidP="00E31AA4">
            <w:pPr>
              <w:jc w:val="both"/>
              <w:rPr>
                <w:rFonts w:ascii="Arial" w:hAnsi="Arial" w:cs="Arial"/>
              </w:rPr>
            </w:pPr>
            <w:r>
              <w:rPr>
                <w:rFonts w:ascii="Arial" w:hAnsi="Arial" w:cs="Arial"/>
              </w:rPr>
              <w:t>Kenny Allen</w:t>
            </w:r>
          </w:p>
        </w:tc>
      </w:tr>
      <w:tr w:rsidR="005D3F32" w:rsidTr="009C6BAD">
        <w:tc>
          <w:tcPr>
            <w:tcW w:w="4513" w:type="dxa"/>
            <w:shd w:val="clear" w:color="auto" w:fill="D9D9D9" w:themeFill="background1" w:themeFillShade="D9"/>
          </w:tcPr>
          <w:p w:rsidR="005D3F32" w:rsidRDefault="005D3F32" w:rsidP="00E31AA4">
            <w:pPr>
              <w:jc w:val="both"/>
              <w:rPr>
                <w:rFonts w:ascii="Arial" w:hAnsi="Arial" w:cs="Arial"/>
              </w:rPr>
            </w:pPr>
            <w:r>
              <w:rPr>
                <w:rFonts w:ascii="Arial" w:hAnsi="Arial" w:cs="Arial"/>
              </w:rPr>
              <w:t>School/Department</w:t>
            </w:r>
          </w:p>
        </w:tc>
        <w:tc>
          <w:tcPr>
            <w:tcW w:w="4621" w:type="dxa"/>
          </w:tcPr>
          <w:p w:rsidR="005D3F32" w:rsidRDefault="00F331ED" w:rsidP="00E31AA4">
            <w:pPr>
              <w:jc w:val="both"/>
              <w:rPr>
                <w:rFonts w:ascii="Arial" w:hAnsi="Arial" w:cs="Arial"/>
              </w:rPr>
            </w:pPr>
            <w:r>
              <w:rPr>
                <w:rFonts w:ascii="Arial" w:hAnsi="Arial" w:cs="Arial"/>
              </w:rPr>
              <w:t>Estates Department</w:t>
            </w:r>
          </w:p>
        </w:tc>
      </w:tr>
      <w:tr w:rsidR="005D3F32" w:rsidTr="009C6BAD">
        <w:tc>
          <w:tcPr>
            <w:tcW w:w="4513" w:type="dxa"/>
            <w:shd w:val="clear" w:color="auto" w:fill="D9D9D9" w:themeFill="background1" w:themeFillShade="D9"/>
          </w:tcPr>
          <w:p w:rsidR="005D3F32" w:rsidRDefault="005D3F32" w:rsidP="00E31AA4">
            <w:pPr>
              <w:jc w:val="both"/>
              <w:rPr>
                <w:rFonts w:ascii="Arial" w:hAnsi="Arial" w:cs="Arial"/>
              </w:rPr>
            </w:pPr>
            <w:r>
              <w:rPr>
                <w:rFonts w:ascii="Arial" w:hAnsi="Arial" w:cs="Arial"/>
              </w:rPr>
              <w:t>Budget Holder</w:t>
            </w:r>
          </w:p>
        </w:tc>
        <w:tc>
          <w:tcPr>
            <w:tcW w:w="4621" w:type="dxa"/>
          </w:tcPr>
          <w:p w:rsidR="005D3F32" w:rsidRDefault="00F331ED" w:rsidP="00E31AA4">
            <w:pPr>
              <w:jc w:val="both"/>
              <w:rPr>
                <w:rFonts w:ascii="Arial" w:hAnsi="Arial" w:cs="Arial"/>
              </w:rPr>
            </w:pPr>
            <w:r>
              <w:rPr>
                <w:rFonts w:ascii="Arial" w:hAnsi="Arial" w:cs="Arial"/>
              </w:rPr>
              <w:t>Douglas Little</w:t>
            </w:r>
          </w:p>
        </w:tc>
      </w:tr>
    </w:tbl>
    <w:p w:rsidR="005D3F32" w:rsidRDefault="005D3F32" w:rsidP="00E31AA4">
      <w:pPr>
        <w:jc w:val="both"/>
        <w:rPr>
          <w:rFonts w:ascii="Arial" w:hAnsi="Arial" w:cs="Arial"/>
        </w:rPr>
      </w:pPr>
    </w:p>
    <w:tbl>
      <w:tblPr>
        <w:tblStyle w:val="TableGrid"/>
        <w:tblW w:w="0" w:type="auto"/>
        <w:tblInd w:w="108" w:type="dxa"/>
        <w:tblLook w:val="04A0" w:firstRow="1" w:lastRow="0" w:firstColumn="1" w:lastColumn="0" w:noHBand="0" w:noVBand="1"/>
      </w:tblPr>
      <w:tblGrid>
        <w:gridCol w:w="9134"/>
      </w:tblGrid>
      <w:tr w:rsidR="005D3F32" w:rsidTr="009C6BAD">
        <w:tc>
          <w:tcPr>
            <w:tcW w:w="9134" w:type="dxa"/>
            <w:shd w:val="clear" w:color="auto" w:fill="D9D9D9" w:themeFill="background1" w:themeFillShade="D9"/>
          </w:tcPr>
          <w:p w:rsidR="005D3F32" w:rsidRPr="00E93D3F" w:rsidRDefault="005D3F32" w:rsidP="005D3F32">
            <w:pPr>
              <w:pStyle w:val="ListParagraph"/>
              <w:ind w:left="360" w:hanging="326"/>
              <w:jc w:val="both"/>
              <w:rPr>
                <w:rFonts w:ascii="Arial" w:hAnsi="Arial" w:cs="Arial"/>
                <w:color w:val="FF0000"/>
                <w:u w:val="single"/>
              </w:rPr>
            </w:pPr>
            <w:r w:rsidRPr="00E93D3F">
              <w:rPr>
                <w:rFonts w:ascii="Arial" w:hAnsi="Arial" w:cs="Arial"/>
                <w:u w:val="single"/>
              </w:rPr>
              <w:t xml:space="preserve">Purpose </w:t>
            </w:r>
            <w:r>
              <w:rPr>
                <w:rFonts w:ascii="Arial" w:hAnsi="Arial" w:cs="Arial"/>
                <w:u w:val="single"/>
              </w:rPr>
              <w:t>- f</w:t>
            </w:r>
            <w:r w:rsidRPr="00E93D3F">
              <w:rPr>
                <w:rFonts w:ascii="Arial" w:hAnsi="Arial" w:cs="Arial"/>
                <w:u w:val="single"/>
              </w:rPr>
              <w:t>rom the</w:t>
            </w:r>
            <w:r w:rsidRPr="00E93D3F">
              <w:rPr>
                <w:rFonts w:ascii="Arial" w:hAnsi="Arial" w:cs="Arial"/>
                <w:color w:val="FF0000"/>
                <w:u w:val="single"/>
              </w:rPr>
              <w:t xml:space="preserve"> </w:t>
            </w:r>
            <w:r w:rsidRPr="00E93D3F">
              <w:rPr>
                <w:rFonts w:ascii="Arial" w:hAnsi="Arial" w:cs="Arial"/>
                <w:u w:val="single"/>
              </w:rPr>
              <w:t>Business case</w:t>
            </w:r>
            <w:r w:rsidRPr="005A38BA">
              <w:rPr>
                <w:rFonts w:ascii="Arial" w:hAnsi="Arial" w:cs="Arial"/>
                <w:i/>
                <w:color w:val="0070C0"/>
                <w:u w:val="single"/>
              </w:rPr>
              <w:t>(Business Need)</w:t>
            </w:r>
          </w:p>
          <w:p w:rsidR="005D3F32" w:rsidRDefault="005D3F32" w:rsidP="00E31AA4">
            <w:pPr>
              <w:jc w:val="both"/>
              <w:rPr>
                <w:rFonts w:ascii="Arial" w:hAnsi="Arial" w:cs="Arial"/>
              </w:rPr>
            </w:pPr>
          </w:p>
        </w:tc>
      </w:tr>
      <w:tr w:rsidR="005D3F32" w:rsidTr="005D3F32">
        <w:tc>
          <w:tcPr>
            <w:tcW w:w="9134" w:type="dxa"/>
          </w:tcPr>
          <w:p w:rsidR="00F331ED" w:rsidRDefault="00F331ED" w:rsidP="00F331ED">
            <w:pPr>
              <w:overflowPunct w:val="0"/>
              <w:autoSpaceDE w:val="0"/>
              <w:autoSpaceDN w:val="0"/>
              <w:adjustRightInd w:val="0"/>
              <w:spacing w:before="120" w:after="120"/>
              <w:jc w:val="both"/>
              <w:textAlignment w:val="baseline"/>
              <w:rPr>
                <w:rFonts w:ascii="Arial" w:eastAsia="Times New Roman" w:hAnsi="Arial" w:cs="Times New Roman"/>
                <w:noProof/>
                <w:szCs w:val="20"/>
              </w:rPr>
            </w:pPr>
            <w:r w:rsidRPr="00F331ED">
              <w:rPr>
                <w:rFonts w:ascii="Arial" w:eastAsia="Times New Roman" w:hAnsi="Arial" w:cs="Times New Roman"/>
                <w:szCs w:val="20"/>
              </w:rPr>
              <w:t xml:space="preserve">Glasgow Caledonian University has identified a need for a contract or contracts for </w:t>
            </w:r>
            <w:r w:rsidRPr="00F331ED">
              <w:rPr>
                <w:rFonts w:ascii="Arial" w:eastAsia="Times New Roman" w:hAnsi="Arial" w:cs="Times New Roman"/>
                <w:noProof/>
                <w:szCs w:val="20"/>
              </w:rPr>
              <w:t>the ‘Provision of Signage Services’ term a</w:t>
            </w:r>
            <w:r>
              <w:rPr>
                <w:rFonts w:ascii="Arial" w:eastAsia="Times New Roman" w:hAnsi="Arial" w:cs="Times New Roman"/>
                <w:noProof/>
                <w:szCs w:val="20"/>
              </w:rPr>
              <w:t>greement.</w:t>
            </w:r>
          </w:p>
          <w:p w:rsidR="00F331ED" w:rsidRPr="00F331ED" w:rsidRDefault="00F331ED" w:rsidP="00F331ED">
            <w:pPr>
              <w:overflowPunct w:val="0"/>
              <w:autoSpaceDE w:val="0"/>
              <w:autoSpaceDN w:val="0"/>
              <w:adjustRightInd w:val="0"/>
              <w:spacing w:before="120" w:after="120"/>
              <w:jc w:val="both"/>
              <w:textAlignment w:val="baseline"/>
              <w:rPr>
                <w:rFonts w:ascii="Arial" w:eastAsia="Times New Roman" w:hAnsi="Arial" w:cs="Times New Roman"/>
                <w:szCs w:val="20"/>
              </w:rPr>
            </w:pPr>
            <w:r w:rsidRPr="00F331ED">
              <w:rPr>
                <w:rFonts w:ascii="Arial" w:eastAsia="Times New Roman" w:hAnsi="Arial" w:cs="Times New Roman"/>
                <w:szCs w:val="20"/>
              </w:rPr>
              <w:t>The purpose of this exercise is to provide a standard system for internal signage, throughout Glasgow Caledonian University.</w:t>
            </w:r>
          </w:p>
          <w:p w:rsidR="005D3F32" w:rsidRDefault="005D3F32" w:rsidP="00F331ED">
            <w:pPr>
              <w:numPr>
                <w:ilvl w:val="0"/>
                <w:numId w:val="19"/>
              </w:numPr>
              <w:overflowPunct w:val="0"/>
              <w:autoSpaceDE w:val="0"/>
              <w:autoSpaceDN w:val="0"/>
              <w:adjustRightInd w:val="0"/>
              <w:spacing w:before="120" w:after="120"/>
              <w:contextualSpacing/>
              <w:jc w:val="both"/>
              <w:textAlignment w:val="baseline"/>
              <w:rPr>
                <w:rFonts w:ascii="Arial" w:hAnsi="Arial" w:cs="Arial"/>
              </w:rPr>
            </w:pPr>
          </w:p>
        </w:tc>
      </w:tr>
    </w:tbl>
    <w:p w:rsidR="00BE09BD" w:rsidRDefault="00BE09BD" w:rsidP="00BE09BD">
      <w:pPr>
        <w:pStyle w:val="ListParagraph"/>
        <w:spacing w:after="0"/>
        <w:jc w:val="both"/>
        <w:rPr>
          <w:rFonts w:ascii="Arial" w:hAnsi="Arial" w:cs="Arial"/>
          <w:color w:val="FF0000"/>
        </w:rPr>
      </w:pPr>
    </w:p>
    <w:tbl>
      <w:tblPr>
        <w:tblStyle w:val="TableGrid"/>
        <w:tblW w:w="0" w:type="auto"/>
        <w:tblInd w:w="108" w:type="dxa"/>
        <w:tblLook w:val="04A0" w:firstRow="1" w:lastRow="0" w:firstColumn="1" w:lastColumn="0" w:noHBand="0" w:noVBand="1"/>
      </w:tblPr>
      <w:tblGrid>
        <w:gridCol w:w="9134"/>
      </w:tblGrid>
      <w:tr w:rsidR="005D3F32" w:rsidTr="009C6BAD">
        <w:tc>
          <w:tcPr>
            <w:tcW w:w="9134" w:type="dxa"/>
            <w:shd w:val="clear" w:color="auto" w:fill="D9D9D9" w:themeFill="background1" w:themeFillShade="D9"/>
          </w:tcPr>
          <w:p w:rsidR="005D3F32" w:rsidRPr="0054717F" w:rsidRDefault="005D3F32" w:rsidP="005D3F32">
            <w:pPr>
              <w:pStyle w:val="ListParagraph"/>
              <w:ind w:left="360" w:hanging="326"/>
              <w:jc w:val="both"/>
              <w:rPr>
                <w:rFonts w:ascii="Arial" w:hAnsi="Arial" w:cs="Arial"/>
                <w:u w:val="single"/>
              </w:rPr>
            </w:pPr>
            <w:r w:rsidRPr="0054717F">
              <w:rPr>
                <w:rFonts w:ascii="Arial" w:hAnsi="Arial" w:cs="Arial"/>
                <w:u w:val="single"/>
              </w:rPr>
              <w:t xml:space="preserve">Client </w:t>
            </w:r>
            <w:r w:rsidRPr="005A38BA">
              <w:rPr>
                <w:rFonts w:ascii="Arial" w:hAnsi="Arial" w:cs="Arial"/>
                <w:i/>
                <w:color w:val="0070C0"/>
                <w:u w:val="single"/>
              </w:rPr>
              <w:t>(Scope)</w:t>
            </w:r>
          </w:p>
          <w:p w:rsidR="005D3F32" w:rsidRDefault="005D3F32" w:rsidP="005D3F32">
            <w:pPr>
              <w:jc w:val="both"/>
              <w:rPr>
                <w:rFonts w:ascii="Arial" w:hAnsi="Arial" w:cs="Arial"/>
              </w:rPr>
            </w:pPr>
          </w:p>
        </w:tc>
      </w:tr>
      <w:tr w:rsidR="005D3F32" w:rsidTr="005D3F32">
        <w:tc>
          <w:tcPr>
            <w:tcW w:w="9134" w:type="dxa"/>
          </w:tcPr>
          <w:p w:rsidR="005D3F32" w:rsidRPr="00F331ED" w:rsidRDefault="00F331ED" w:rsidP="005D3F32">
            <w:pPr>
              <w:pStyle w:val="ListParagraph"/>
              <w:tabs>
                <w:tab w:val="left" w:pos="34"/>
              </w:tabs>
              <w:ind w:left="34"/>
              <w:jc w:val="both"/>
              <w:rPr>
                <w:rFonts w:ascii="Arial" w:hAnsi="Arial" w:cs="Arial"/>
              </w:rPr>
            </w:pPr>
            <w:r w:rsidRPr="00F331ED">
              <w:rPr>
                <w:rFonts w:ascii="Arial" w:hAnsi="Arial" w:cs="Arial"/>
              </w:rPr>
              <w:t>Estates Department</w:t>
            </w:r>
          </w:p>
          <w:p w:rsidR="005D3F32" w:rsidRDefault="005D3F32" w:rsidP="005D3F32">
            <w:pPr>
              <w:jc w:val="both"/>
              <w:rPr>
                <w:rFonts w:ascii="Arial" w:hAnsi="Arial" w:cs="Arial"/>
              </w:rPr>
            </w:pPr>
          </w:p>
        </w:tc>
      </w:tr>
    </w:tbl>
    <w:p w:rsidR="0054717F" w:rsidRDefault="0054717F" w:rsidP="0054717F">
      <w:pPr>
        <w:pStyle w:val="ListParagraph"/>
        <w:jc w:val="both"/>
        <w:rPr>
          <w:rFonts w:ascii="Arial" w:hAnsi="Arial" w:cs="Arial"/>
          <w:color w:val="FF0000"/>
        </w:rPr>
      </w:pPr>
    </w:p>
    <w:tbl>
      <w:tblPr>
        <w:tblStyle w:val="TableGrid"/>
        <w:tblW w:w="0" w:type="auto"/>
        <w:tblInd w:w="108" w:type="dxa"/>
        <w:tblLook w:val="04A0" w:firstRow="1" w:lastRow="0" w:firstColumn="1" w:lastColumn="0" w:noHBand="0" w:noVBand="1"/>
      </w:tblPr>
      <w:tblGrid>
        <w:gridCol w:w="9134"/>
      </w:tblGrid>
      <w:tr w:rsidR="005D3F32" w:rsidTr="009C6BAD">
        <w:tc>
          <w:tcPr>
            <w:tcW w:w="9134" w:type="dxa"/>
            <w:shd w:val="clear" w:color="auto" w:fill="D9D9D9" w:themeFill="background1" w:themeFillShade="D9"/>
          </w:tcPr>
          <w:p w:rsidR="005D3F32" w:rsidRPr="0054717F" w:rsidRDefault="005D3F32" w:rsidP="005D3F32">
            <w:pPr>
              <w:pStyle w:val="ListParagraph"/>
              <w:ind w:left="360" w:hanging="326"/>
              <w:jc w:val="both"/>
              <w:rPr>
                <w:rFonts w:ascii="Arial" w:hAnsi="Arial" w:cs="Arial"/>
                <w:u w:val="single"/>
              </w:rPr>
            </w:pPr>
            <w:r w:rsidRPr="0054717F">
              <w:rPr>
                <w:rFonts w:ascii="Arial" w:hAnsi="Arial" w:cs="Arial"/>
                <w:u w:val="single"/>
              </w:rPr>
              <w:t xml:space="preserve">Aims and Objectives </w:t>
            </w:r>
            <w:r w:rsidRPr="005A38BA">
              <w:rPr>
                <w:rFonts w:ascii="Arial" w:hAnsi="Arial" w:cs="Arial"/>
                <w:i/>
                <w:color w:val="0070C0"/>
                <w:u w:val="single"/>
              </w:rPr>
              <w:t>(Scope)</w:t>
            </w:r>
          </w:p>
          <w:p w:rsidR="005D3F32" w:rsidRDefault="005D3F32" w:rsidP="005D3F32">
            <w:pPr>
              <w:pStyle w:val="ListParagraph"/>
              <w:ind w:left="360" w:hanging="326"/>
              <w:jc w:val="both"/>
              <w:rPr>
                <w:rFonts w:ascii="Arial" w:hAnsi="Arial" w:cs="Arial"/>
              </w:rPr>
            </w:pPr>
          </w:p>
        </w:tc>
      </w:tr>
      <w:tr w:rsidR="005D3F32" w:rsidTr="005D3F32">
        <w:tc>
          <w:tcPr>
            <w:tcW w:w="9134" w:type="dxa"/>
          </w:tcPr>
          <w:p w:rsidR="00F331ED" w:rsidRPr="00F331ED" w:rsidRDefault="00F331ED" w:rsidP="00F331ED">
            <w:pPr>
              <w:overflowPunct w:val="0"/>
              <w:autoSpaceDE w:val="0"/>
              <w:autoSpaceDN w:val="0"/>
              <w:adjustRightInd w:val="0"/>
              <w:spacing w:before="120" w:after="120"/>
              <w:jc w:val="both"/>
              <w:textAlignment w:val="baseline"/>
              <w:rPr>
                <w:rFonts w:ascii="Arial" w:eastAsia="Times New Roman" w:hAnsi="Arial" w:cs="Times New Roman"/>
                <w:szCs w:val="20"/>
              </w:rPr>
            </w:pPr>
            <w:r w:rsidRPr="00F331ED">
              <w:rPr>
                <w:rFonts w:ascii="Arial" w:eastAsia="Times New Roman" w:hAnsi="Arial" w:cs="Times New Roman"/>
                <w:szCs w:val="20"/>
              </w:rPr>
              <w:t>Develop a way finding strategy encompassing all aspects of internal and signing throughout the Campus</w:t>
            </w:r>
          </w:p>
          <w:p w:rsidR="00F331ED" w:rsidRPr="00F331ED" w:rsidRDefault="00F331ED" w:rsidP="00F331ED">
            <w:pPr>
              <w:overflowPunct w:val="0"/>
              <w:autoSpaceDE w:val="0"/>
              <w:autoSpaceDN w:val="0"/>
              <w:adjustRightInd w:val="0"/>
              <w:spacing w:before="120" w:after="120"/>
              <w:jc w:val="both"/>
              <w:textAlignment w:val="baseline"/>
              <w:rPr>
                <w:rFonts w:ascii="Arial" w:eastAsia="Times New Roman" w:hAnsi="Arial" w:cs="Times New Roman"/>
                <w:szCs w:val="20"/>
              </w:rPr>
            </w:pPr>
            <w:r w:rsidRPr="00F331ED">
              <w:rPr>
                <w:rFonts w:ascii="Arial" w:eastAsia="Times New Roman" w:hAnsi="Arial" w:cs="Times New Roman"/>
                <w:szCs w:val="20"/>
              </w:rPr>
              <w:t>The aims of the strategy:</w:t>
            </w:r>
          </w:p>
          <w:p w:rsidR="00F331ED" w:rsidRPr="00F331ED" w:rsidRDefault="00F331ED" w:rsidP="00F331ED">
            <w:pPr>
              <w:numPr>
                <w:ilvl w:val="0"/>
                <w:numId w:val="19"/>
              </w:numPr>
              <w:overflowPunct w:val="0"/>
              <w:autoSpaceDE w:val="0"/>
              <w:autoSpaceDN w:val="0"/>
              <w:adjustRightInd w:val="0"/>
              <w:spacing w:before="120" w:after="120"/>
              <w:contextualSpacing/>
              <w:jc w:val="both"/>
              <w:textAlignment w:val="baseline"/>
              <w:rPr>
                <w:rFonts w:ascii="Arial" w:eastAsia="Times New Roman" w:hAnsi="Arial" w:cs="Times New Roman"/>
                <w:szCs w:val="20"/>
              </w:rPr>
            </w:pPr>
            <w:r w:rsidRPr="00F331ED">
              <w:rPr>
                <w:rFonts w:ascii="Arial" w:eastAsia="Times New Roman" w:hAnsi="Arial" w:cs="Times New Roman"/>
                <w:szCs w:val="20"/>
              </w:rPr>
              <w:t>Complement the existing signage system;</w:t>
            </w:r>
          </w:p>
          <w:p w:rsidR="00F331ED" w:rsidRPr="00F331ED" w:rsidRDefault="00F331ED" w:rsidP="00F331ED">
            <w:pPr>
              <w:numPr>
                <w:ilvl w:val="0"/>
                <w:numId w:val="19"/>
              </w:numPr>
              <w:overflowPunct w:val="0"/>
              <w:autoSpaceDE w:val="0"/>
              <w:autoSpaceDN w:val="0"/>
              <w:adjustRightInd w:val="0"/>
              <w:spacing w:before="120" w:after="120"/>
              <w:contextualSpacing/>
              <w:jc w:val="both"/>
              <w:textAlignment w:val="baseline"/>
              <w:rPr>
                <w:rFonts w:ascii="Arial" w:eastAsia="Times New Roman" w:hAnsi="Arial" w:cs="Times New Roman"/>
                <w:szCs w:val="20"/>
              </w:rPr>
            </w:pPr>
            <w:r w:rsidRPr="00F331ED">
              <w:rPr>
                <w:rFonts w:ascii="Arial" w:eastAsia="Times New Roman" w:hAnsi="Arial" w:cs="Times New Roman"/>
                <w:szCs w:val="20"/>
              </w:rPr>
              <w:t>To meet the obligations under the Disability Discrimination Act (2005);</w:t>
            </w:r>
          </w:p>
          <w:p w:rsidR="00F331ED" w:rsidRPr="00F331ED" w:rsidRDefault="00F331ED" w:rsidP="00F331ED">
            <w:pPr>
              <w:numPr>
                <w:ilvl w:val="0"/>
                <w:numId w:val="19"/>
              </w:numPr>
              <w:overflowPunct w:val="0"/>
              <w:autoSpaceDE w:val="0"/>
              <w:autoSpaceDN w:val="0"/>
              <w:adjustRightInd w:val="0"/>
              <w:spacing w:before="120" w:after="120"/>
              <w:contextualSpacing/>
              <w:jc w:val="both"/>
              <w:textAlignment w:val="baseline"/>
              <w:rPr>
                <w:rFonts w:ascii="Arial" w:eastAsia="Times New Roman" w:hAnsi="Arial" w:cs="Times New Roman"/>
                <w:szCs w:val="20"/>
              </w:rPr>
            </w:pPr>
            <w:r w:rsidRPr="00F331ED">
              <w:rPr>
                <w:rFonts w:ascii="Arial" w:eastAsia="Times New Roman" w:hAnsi="Arial" w:cs="Times New Roman"/>
                <w:szCs w:val="20"/>
              </w:rPr>
              <w:t>To ensure delivery of a cohesive and consistent style of signage which provides visitors and users with the highest quality and effectiveness of sign communications;</w:t>
            </w:r>
          </w:p>
          <w:p w:rsidR="00F331ED" w:rsidRPr="00F331ED" w:rsidRDefault="00F331ED" w:rsidP="00F331ED">
            <w:pPr>
              <w:numPr>
                <w:ilvl w:val="0"/>
                <w:numId w:val="19"/>
              </w:numPr>
              <w:overflowPunct w:val="0"/>
              <w:autoSpaceDE w:val="0"/>
              <w:autoSpaceDN w:val="0"/>
              <w:adjustRightInd w:val="0"/>
              <w:spacing w:before="120" w:after="120"/>
              <w:contextualSpacing/>
              <w:jc w:val="both"/>
              <w:textAlignment w:val="baseline"/>
              <w:rPr>
                <w:rFonts w:ascii="Arial" w:eastAsia="Times New Roman" w:hAnsi="Arial" w:cs="Times New Roman"/>
                <w:szCs w:val="20"/>
              </w:rPr>
            </w:pPr>
            <w:r w:rsidRPr="00F331ED">
              <w:rPr>
                <w:rFonts w:ascii="Arial" w:eastAsia="Times New Roman" w:hAnsi="Arial" w:cs="Times New Roman"/>
                <w:szCs w:val="20"/>
              </w:rPr>
              <w:t>To create a flexible, sustainable system that allows for easy change and relocation;</w:t>
            </w:r>
          </w:p>
          <w:p w:rsidR="005D3F32" w:rsidRPr="00F331ED" w:rsidRDefault="00F331ED" w:rsidP="00F331ED">
            <w:pPr>
              <w:numPr>
                <w:ilvl w:val="0"/>
                <w:numId w:val="19"/>
              </w:numPr>
              <w:overflowPunct w:val="0"/>
              <w:autoSpaceDE w:val="0"/>
              <w:autoSpaceDN w:val="0"/>
              <w:adjustRightInd w:val="0"/>
              <w:spacing w:before="120" w:after="120"/>
              <w:contextualSpacing/>
              <w:jc w:val="both"/>
              <w:textAlignment w:val="baseline"/>
              <w:rPr>
                <w:rFonts w:ascii="Arial" w:eastAsia="Times New Roman" w:hAnsi="Arial" w:cs="Times New Roman"/>
                <w:szCs w:val="20"/>
              </w:rPr>
            </w:pPr>
            <w:r w:rsidRPr="00F331ED">
              <w:rPr>
                <w:rFonts w:ascii="Arial" w:eastAsia="Times New Roman" w:hAnsi="Arial" w:cs="Times New Roman"/>
                <w:szCs w:val="20"/>
              </w:rPr>
              <w:t>To maintain the integrity of the University corporate identity.</w:t>
            </w:r>
          </w:p>
          <w:p w:rsidR="005D3F32" w:rsidRPr="005D3F32" w:rsidRDefault="005D3F32" w:rsidP="005D3F32">
            <w:pPr>
              <w:jc w:val="both"/>
              <w:rPr>
                <w:rFonts w:ascii="Arial" w:hAnsi="Arial" w:cs="Arial"/>
                <w:color w:val="548DD4" w:themeColor="text2" w:themeTint="99"/>
              </w:rPr>
            </w:pPr>
          </w:p>
        </w:tc>
      </w:tr>
    </w:tbl>
    <w:p w:rsidR="005D3F32" w:rsidRDefault="005D3F32" w:rsidP="0054717F">
      <w:pPr>
        <w:pStyle w:val="ListParagraph"/>
        <w:jc w:val="both"/>
        <w:rPr>
          <w:rFonts w:ascii="Arial" w:hAnsi="Arial" w:cs="Arial"/>
          <w:color w:val="FF0000"/>
        </w:rPr>
      </w:pPr>
    </w:p>
    <w:p w:rsidR="00F331ED" w:rsidRPr="00BE09BD" w:rsidRDefault="00F331ED" w:rsidP="0054717F">
      <w:pPr>
        <w:pStyle w:val="ListParagraph"/>
        <w:jc w:val="both"/>
        <w:rPr>
          <w:rFonts w:ascii="Arial" w:hAnsi="Arial" w:cs="Arial"/>
          <w:color w:val="FF0000"/>
        </w:rPr>
      </w:pPr>
    </w:p>
    <w:p w:rsidR="00C16926" w:rsidRPr="00BE09BD" w:rsidRDefault="00C16926" w:rsidP="00C16926">
      <w:pPr>
        <w:pStyle w:val="ListParagraph"/>
        <w:jc w:val="both"/>
        <w:rPr>
          <w:rFonts w:ascii="Arial" w:hAnsi="Arial" w:cs="Arial"/>
          <w:color w:val="FF0000"/>
        </w:rPr>
      </w:pPr>
    </w:p>
    <w:tbl>
      <w:tblPr>
        <w:tblStyle w:val="TableGrid"/>
        <w:tblW w:w="0" w:type="auto"/>
        <w:tblInd w:w="108" w:type="dxa"/>
        <w:tblLook w:val="04A0" w:firstRow="1" w:lastRow="0" w:firstColumn="1" w:lastColumn="0" w:noHBand="0" w:noVBand="1"/>
      </w:tblPr>
      <w:tblGrid>
        <w:gridCol w:w="9134"/>
      </w:tblGrid>
      <w:tr w:rsidR="005D3F32" w:rsidTr="009C6BAD">
        <w:tc>
          <w:tcPr>
            <w:tcW w:w="9134" w:type="dxa"/>
            <w:shd w:val="clear" w:color="auto" w:fill="D9D9D9" w:themeFill="background1" w:themeFillShade="D9"/>
          </w:tcPr>
          <w:p w:rsidR="005D3F32" w:rsidRPr="00C16926" w:rsidRDefault="005D3F32" w:rsidP="005D3F32">
            <w:pPr>
              <w:pStyle w:val="ListParagraph"/>
              <w:ind w:left="360" w:hanging="326"/>
              <w:jc w:val="both"/>
              <w:rPr>
                <w:rFonts w:ascii="Arial" w:hAnsi="Arial" w:cs="Arial"/>
                <w:u w:val="single"/>
              </w:rPr>
            </w:pPr>
            <w:r w:rsidRPr="00C16926">
              <w:rPr>
                <w:rFonts w:ascii="Arial" w:hAnsi="Arial" w:cs="Arial"/>
                <w:u w:val="single"/>
              </w:rPr>
              <w:lastRenderedPageBreak/>
              <w:t xml:space="preserve">Outputs </w:t>
            </w:r>
            <w:r w:rsidRPr="005A38BA">
              <w:rPr>
                <w:rFonts w:ascii="Arial" w:hAnsi="Arial" w:cs="Arial"/>
                <w:i/>
                <w:color w:val="0070C0"/>
                <w:u w:val="single"/>
              </w:rPr>
              <w:t>(Statement of Requirements)</w:t>
            </w:r>
          </w:p>
          <w:p w:rsidR="005D3F32" w:rsidRDefault="005D3F32" w:rsidP="005D3F32">
            <w:pPr>
              <w:pStyle w:val="ListParagraph"/>
              <w:ind w:left="360" w:hanging="326"/>
              <w:jc w:val="both"/>
              <w:rPr>
                <w:rFonts w:ascii="Arial" w:hAnsi="Arial" w:cs="Arial"/>
              </w:rPr>
            </w:pPr>
          </w:p>
        </w:tc>
      </w:tr>
      <w:tr w:rsidR="005D3F32" w:rsidTr="005D3F32">
        <w:tc>
          <w:tcPr>
            <w:tcW w:w="9134" w:type="dxa"/>
          </w:tcPr>
          <w:p w:rsidR="005D3F32" w:rsidRPr="005D3F32" w:rsidRDefault="005D3F32" w:rsidP="005D3F32">
            <w:pPr>
              <w:tabs>
                <w:tab w:val="left" w:pos="34"/>
              </w:tabs>
              <w:jc w:val="both"/>
              <w:rPr>
                <w:rFonts w:ascii="Arial" w:hAnsi="Arial" w:cs="Arial"/>
                <w:color w:val="548DD4" w:themeColor="text2" w:themeTint="99"/>
              </w:rPr>
            </w:pPr>
          </w:p>
          <w:p w:rsidR="00F331ED" w:rsidRPr="00F331ED" w:rsidRDefault="00F331ED" w:rsidP="00F331ED">
            <w:pPr>
              <w:overflowPunct w:val="0"/>
              <w:autoSpaceDE w:val="0"/>
              <w:autoSpaceDN w:val="0"/>
              <w:adjustRightInd w:val="0"/>
              <w:spacing w:before="120" w:after="120"/>
              <w:jc w:val="both"/>
              <w:textAlignment w:val="baseline"/>
              <w:rPr>
                <w:rFonts w:ascii="Arial" w:eastAsia="Times New Roman" w:hAnsi="Arial" w:cs="Times New Roman"/>
                <w:szCs w:val="20"/>
              </w:rPr>
            </w:pPr>
            <w:r w:rsidRPr="00F331ED">
              <w:rPr>
                <w:rFonts w:ascii="Arial" w:eastAsia="Times New Roman" w:hAnsi="Arial" w:cs="Times New Roman"/>
                <w:szCs w:val="20"/>
              </w:rPr>
              <w:t>Glasgow Caledonian University is currently going through a major refurbishment which will continue until 2016. ………………………………</w:t>
            </w:r>
          </w:p>
          <w:p w:rsidR="00F331ED" w:rsidRPr="00F331ED" w:rsidRDefault="00F331ED" w:rsidP="00F331ED">
            <w:pPr>
              <w:overflowPunct w:val="0"/>
              <w:autoSpaceDE w:val="0"/>
              <w:autoSpaceDN w:val="0"/>
              <w:adjustRightInd w:val="0"/>
              <w:spacing w:before="120" w:after="120"/>
              <w:jc w:val="both"/>
              <w:textAlignment w:val="baseline"/>
              <w:rPr>
                <w:rFonts w:ascii="Arial" w:eastAsia="Times New Roman" w:hAnsi="Arial" w:cs="Times New Roman"/>
                <w:szCs w:val="20"/>
              </w:rPr>
            </w:pPr>
          </w:p>
          <w:p w:rsidR="00F331ED" w:rsidRPr="00F331ED" w:rsidRDefault="00F331ED" w:rsidP="00F331ED">
            <w:pPr>
              <w:overflowPunct w:val="0"/>
              <w:autoSpaceDE w:val="0"/>
              <w:autoSpaceDN w:val="0"/>
              <w:adjustRightInd w:val="0"/>
              <w:spacing w:before="120" w:after="120"/>
              <w:jc w:val="both"/>
              <w:textAlignment w:val="baseline"/>
              <w:rPr>
                <w:rFonts w:ascii="Arial" w:eastAsia="Times New Roman" w:hAnsi="Arial" w:cs="Times New Roman"/>
                <w:b/>
                <w:szCs w:val="20"/>
                <w:u w:val="single"/>
              </w:rPr>
            </w:pPr>
            <w:r w:rsidRPr="00F331ED">
              <w:rPr>
                <w:rFonts w:ascii="Arial" w:eastAsia="Times New Roman" w:hAnsi="Arial" w:cs="Times New Roman"/>
                <w:b/>
                <w:szCs w:val="20"/>
                <w:u w:val="single"/>
              </w:rPr>
              <w:t>Flexibility</w:t>
            </w:r>
          </w:p>
          <w:p w:rsidR="00F331ED" w:rsidRPr="00F331ED" w:rsidRDefault="00F331ED" w:rsidP="00F331ED">
            <w:pPr>
              <w:overflowPunct w:val="0"/>
              <w:autoSpaceDE w:val="0"/>
              <w:autoSpaceDN w:val="0"/>
              <w:adjustRightInd w:val="0"/>
              <w:spacing w:before="120" w:after="120"/>
              <w:jc w:val="both"/>
              <w:textAlignment w:val="baseline"/>
              <w:rPr>
                <w:rFonts w:ascii="Arial" w:eastAsia="Times New Roman" w:hAnsi="Arial" w:cs="Times New Roman"/>
                <w:szCs w:val="20"/>
              </w:rPr>
            </w:pPr>
            <w:r w:rsidRPr="00F331ED">
              <w:rPr>
                <w:rFonts w:ascii="Arial" w:eastAsia="Times New Roman" w:hAnsi="Arial" w:cs="Times New Roman"/>
                <w:szCs w:val="20"/>
              </w:rPr>
              <w:t>The system should provide a flexibility to accommodate the following scenarios:-</w:t>
            </w:r>
          </w:p>
          <w:p w:rsidR="00F331ED" w:rsidRPr="00F331ED" w:rsidRDefault="00F331ED" w:rsidP="00F331ED">
            <w:pPr>
              <w:numPr>
                <w:ilvl w:val="0"/>
                <w:numId w:val="20"/>
              </w:numPr>
              <w:overflowPunct w:val="0"/>
              <w:autoSpaceDE w:val="0"/>
              <w:autoSpaceDN w:val="0"/>
              <w:adjustRightInd w:val="0"/>
              <w:spacing w:before="120" w:after="120"/>
              <w:contextualSpacing/>
              <w:jc w:val="both"/>
              <w:textAlignment w:val="baseline"/>
              <w:rPr>
                <w:rFonts w:ascii="Arial" w:eastAsia="Times New Roman" w:hAnsi="Arial" w:cs="Times New Roman"/>
                <w:szCs w:val="20"/>
              </w:rPr>
            </w:pPr>
            <w:r w:rsidRPr="00F331ED">
              <w:rPr>
                <w:rFonts w:ascii="Arial" w:eastAsia="Times New Roman" w:hAnsi="Arial" w:cs="Times New Roman"/>
                <w:szCs w:val="20"/>
              </w:rPr>
              <w:t>Staff move buildings;</w:t>
            </w:r>
          </w:p>
          <w:p w:rsidR="00F331ED" w:rsidRPr="00F331ED" w:rsidRDefault="00F331ED" w:rsidP="00F331ED">
            <w:pPr>
              <w:numPr>
                <w:ilvl w:val="0"/>
                <w:numId w:val="20"/>
              </w:numPr>
              <w:overflowPunct w:val="0"/>
              <w:autoSpaceDE w:val="0"/>
              <w:autoSpaceDN w:val="0"/>
              <w:adjustRightInd w:val="0"/>
              <w:spacing w:before="120" w:after="120"/>
              <w:contextualSpacing/>
              <w:jc w:val="both"/>
              <w:textAlignment w:val="baseline"/>
              <w:rPr>
                <w:rFonts w:ascii="Arial" w:eastAsia="Times New Roman" w:hAnsi="Arial" w:cs="Times New Roman"/>
                <w:szCs w:val="20"/>
              </w:rPr>
            </w:pPr>
            <w:r w:rsidRPr="00F331ED">
              <w:rPr>
                <w:rFonts w:ascii="Arial" w:eastAsia="Times New Roman" w:hAnsi="Arial" w:cs="Times New Roman"/>
                <w:szCs w:val="20"/>
              </w:rPr>
              <w:t>Change of Name or Title;</w:t>
            </w:r>
          </w:p>
          <w:p w:rsidR="00F331ED" w:rsidRPr="00F331ED" w:rsidRDefault="00F331ED" w:rsidP="00F331ED">
            <w:pPr>
              <w:numPr>
                <w:ilvl w:val="0"/>
                <w:numId w:val="20"/>
              </w:numPr>
              <w:overflowPunct w:val="0"/>
              <w:autoSpaceDE w:val="0"/>
              <w:autoSpaceDN w:val="0"/>
              <w:adjustRightInd w:val="0"/>
              <w:spacing w:before="120" w:after="120"/>
              <w:contextualSpacing/>
              <w:jc w:val="both"/>
              <w:textAlignment w:val="baseline"/>
              <w:rPr>
                <w:rFonts w:ascii="Arial" w:eastAsia="Times New Roman" w:hAnsi="Arial" w:cs="Times New Roman"/>
                <w:vanish/>
                <w:szCs w:val="20"/>
              </w:rPr>
            </w:pPr>
            <w:r w:rsidRPr="00F331ED">
              <w:rPr>
                <w:rFonts w:ascii="Arial" w:eastAsia="Times New Roman" w:hAnsi="Arial" w:cs="Times New Roman"/>
                <w:szCs w:val="20"/>
              </w:rPr>
              <w:t xml:space="preserve">Staff can take their existing sign with them; and </w:t>
            </w:r>
          </w:p>
          <w:p w:rsidR="00F331ED" w:rsidRPr="00F331ED" w:rsidRDefault="00F331ED" w:rsidP="00F331ED">
            <w:pPr>
              <w:numPr>
                <w:ilvl w:val="0"/>
                <w:numId w:val="20"/>
              </w:numPr>
              <w:overflowPunct w:val="0"/>
              <w:autoSpaceDE w:val="0"/>
              <w:autoSpaceDN w:val="0"/>
              <w:adjustRightInd w:val="0"/>
              <w:spacing w:before="120" w:after="120"/>
              <w:contextualSpacing/>
              <w:jc w:val="both"/>
              <w:textAlignment w:val="baseline"/>
              <w:rPr>
                <w:rFonts w:ascii="Arial" w:eastAsia="Times New Roman" w:hAnsi="Arial" w:cs="Times New Roman"/>
                <w:szCs w:val="20"/>
              </w:rPr>
            </w:pPr>
            <w:r w:rsidRPr="00F331ED">
              <w:rPr>
                <w:rFonts w:ascii="Arial" w:eastAsia="Times New Roman" w:hAnsi="Arial" w:cs="Times New Roman"/>
                <w:szCs w:val="20"/>
              </w:rPr>
              <w:t xml:space="preserve"> </w:t>
            </w:r>
          </w:p>
          <w:p w:rsidR="00F331ED" w:rsidRPr="00F331ED" w:rsidRDefault="00F331ED" w:rsidP="00F331ED">
            <w:pPr>
              <w:numPr>
                <w:ilvl w:val="0"/>
                <w:numId w:val="20"/>
              </w:numPr>
              <w:overflowPunct w:val="0"/>
              <w:autoSpaceDE w:val="0"/>
              <w:autoSpaceDN w:val="0"/>
              <w:adjustRightInd w:val="0"/>
              <w:spacing w:before="120" w:after="120"/>
              <w:contextualSpacing/>
              <w:jc w:val="both"/>
              <w:textAlignment w:val="baseline"/>
              <w:rPr>
                <w:rFonts w:ascii="Arial" w:eastAsia="Times New Roman" w:hAnsi="Arial" w:cs="Times New Roman"/>
                <w:szCs w:val="20"/>
              </w:rPr>
            </w:pPr>
            <w:r w:rsidRPr="00F331ED">
              <w:rPr>
                <w:rFonts w:ascii="Arial" w:eastAsia="Times New Roman" w:hAnsi="Arial" w:cs="Times New Roman"/>
                <w:szCs w:val="20"/>
              </w:rPr>
              <w:t>Change of Room Use</w:t>
            </w:r>
          </w:p>
          <w:p w:rsidR="00F331ED" w:rsidRPr="00F331ED" w:rsidRDefault="00F331ED" w:rsidP="00F331ED">
            <w:pPr>
              <w:overflowPunct w:val="0"/>
              <w:autoSpaceDE w:val="0"/>
              <w:autoSpaceDN w:val="0"/>
              <w:adjustRightInd w:val="0"/>
              <w:spacing w:before="120" w:after="120"/>
              <w:jc w:val="both"/>
              <w:textAlignment w:val="baseline"/>
              <w:rPr>
                <w:rFonts w:ascii="Arial" w:eastAsia="Times New Roman" w:hAnsi="Arial" w:cs="Times New Roman"/>
                <w:szCs w:val="20"/>
              </w:rPr>
            </w:pPr>
          </w:p>
          <w:p w:rsidR="00F331ED" w:rsidRPr="00F331ED" w:rsidRDefault="00F331ED" w:rsidP="00F331ED">
            <w:pPr>
              <w:overflowPunct w:val="0"/>
              <w:autoSpaceDE w:val="0"/>
              <w:autoSpaceDN w:val="0"/>
              <w:adjustRightInd w:val="0"/>
              <w:spacing w:before="120" w:after="120"/>
              <w:jc w:val="both"/>
              <w:textAlignment w:val="baseline"/>
              <w:rPr>
                <w:rFonts w:ascii="Arial" w:eastAsia="Times New Roman" w:hAnsi="Arial" w:cs="Times New Roman"/>
                <w:b/>
                <w:szCs w:val="20"/>
                <w:u w:val="single"/>
              </w:rPr>
            </w:pPr>
            <w:r w:rsidRPr="00F331ED">
              <w:rPr>
                <w:rFonts w:ascii="Arial" w:eastAsia="Times New Roman" w:hAnsi="Arial" w:cs="Times New Roman"/>
                <w:b/>
                <w:szCs w:val="20"/>
                <w:u w:val="single"/>
              </w:rPr>
              <w:t>Disability Discrimination Act (2005) (DDA)</w:t>
            </w:r>
          </w:p>
          <w:p w:rsidR="00F331ED" w:rsidRPr="00F331ED" w:rsidRDefault="00F331ED" w:rsidP="00F331ED">
            <w:pPr>
              <w:overflowPunct w:val="0"/>
              <w:autoSpaceDE w:val="0"/>
              <w:autoSpaceDN w:val="0"/>
              <w:adjustRightInd w:val="0"/>
              <w:spacing w:before="120" w:after="120"/>
              <w:jc w:val="both"/>
              <w:textAlignment w:val="baseline"/>
              <w:rPr>
                <w:rFonts w:ascii="Arial" w:eastAsia="Times New Roman" w:hAnsi="Arial" w:cs="Times New Roman"/>
                <w:szCs w:val="20"/>
              </w:rPr>
            </w:pPr>
            <w:r w:rsidRPr="00F331ED">
              <w:rPr>
                <w:rFonts w:ascii="Arial" w:eastAsia="Times New Roman" w:hAnsi="Arial" w:cs="Times New Roman"/>
                <w:szCs w:val="20"/>
              </w:rPr>
              <w:t>The signage system is to meet all the requirements of the Disability Discrimination Act (2005) relating to signage communications:-</w:t>
            </w:r>
          </w:p>
          <w:p w:rsidR="00F331ED" w:rsidRPr="00F331ED" w:rsidRDefault="00F331ED" w:rsidP="00F331ED">
            <w:pPr>
              <w:numPr>
                <w:ilvl w:val="0"/>
                <w:numId w:val="22"/>
              </w:numPr>
              <w:overflowPunct w:val="0"/>
              <w:autoSpaceDE w:val="0"/>
              <w:autoSpaceDN w:val="0"/>
              <w:adjustRightInd w:val="0"/>
              <w:spacing w:before="120" w:after="120"/>
              <w:contextualSpacing/>
              <w:jc w:val="both"/>
              <w:textAlignment w:val="baseline"/>
              <w:rPr>
                <w:rFonts w:ascii="Arial" w:eastAsia="Times New Roman" w:hAnsi="Arial" w:cs="Times New Roman"/>
                <w:szCs w:val="20"/>
              </w:rPr>
            </w:pPr>
            <w:r w:rsidRPr="00F331ED">
              <w:rPr>
                <w:rFonts w:ascii="Arial" w:eastAsia="Times New Roman" w:hAnsi="Arial" w:cs="Times New Roman"/>
                <w:szCs w:val="20"/>
              </w:rPr>
              <w:t>Impact of the DDA on signage;</w:t>
            </w:r>
          </w:p>
          <w:p w:rsidR="00F331ED" w:rsidRPr="00F331ED" w:rsidRDefault="00F331ED" w:rsidP="00F331ED">
            <w:pPr>
              <w:numPr>
                <w:ilvl w:val="0"/>
                <w:numId w:val="22"/>
              </w:numPr>
              <w:overflowPunct w:val="0"/>
              <w:autoSpaceDE w:val="0"/>
              <w:autoSpaceDN w:val="0"/>
              <w:adjustRightInd w:val="0"/>
              <w:spacing w:before="120" w:after="120"/>
              <w:contextualSpacing/>
              <w:jc w:val="both"/>
              <w:textAlignment w:val="baseline"/>
              <w:rPr>
                <w:rFonts w:ascii="Arial" w:eastAsia="Times New Roman" w:hAnsi="Arial" w:cs="Times New Roman"/>
                <w:szCs w:val="20"/>
              </w:rPr>
            </w:pPr>
            <w:r w:rsidRPr="00F331ED">
              <w:rPr>
                <w:rFonts w:ascii="Arial" w:eastAsia="Times New Roman" w:hAnsi="Arial" w:cs="Times New Roman"/>
                <w:szCs w:val="20"/>
              </w:rPr>
              <w:t>Consideration of Typographic sizes</w:t>
            </w:r>
          </w:p>
          <w:p w:rsidR="00F331ED" w:rsidRPr="00F331ED" w:rsidRDefault="00F331ED" w:rsidP="00F331ED">
            <w:pPr>
              <w:numPr>
                <w:ilvl w:val="0"/>
                <w:numId w:val="22"/>
              </w:numPr>
              <w:overflowPunct w:val="0"/>
              <w:autoSpaceDE w:val="0"/>
              <w:autoSpaceDN w:val="0"/>
              <w:adjustRightInd w:val="0"/>
              <w:spacing w:before="120" w:after="120"/>
              <w:contextualSpacing/>
              <w:jc w:val="both"/>
              <w:textAlignment w:val="baseline"/>
              <w:rPr>
                <w:rFonts w:ascii="Arial" w:eastAsia="Times New Roman" w:hAnsi="Arial" w:cs="Times New Roman"/>
                <w:szCs w:val="20"/>
              </w:rPr>
            </w:pPr>
            <w:r w:rsidRPr="00F331ED">
              <w:rPr>
                <w:rFonts w:ascii="Arial" w:eastAsia="Times New Roman" w:hAnsi="Arial" w:cs="Times New Roman"/>
                <w:szCs w:val="20"/>
              </w:rPr>
              <w:t>Typographic Style</w:t>
            </w:r>
          </w:p>
          <w:p w:rsidR="00F331ED" w:rsidRPr="00F331ED" w:rsidRDefault="00F331ED" w:rsidP="00F331ED">
            <w:pPr>
              <w:numPr>
                <w:ilvl w:val="0"/>
                <w:numId w:val="22"/>
              </w:numPr>
              <w:overflowPunct w:val="0"/>
              <w:autoSpaceDE w:val="0"/>
              <w:autoSpaceDN w:val="0"/>
              <w:adjustRightInd w:val="0"/>
              <w:spacing w:before="120" w:after="120"/>
              <w:contextualSpacing/>
              <w:jc w:val="both"/>
              <w:textAlignment w:val="baseline"/>
              <w:rPr>
                <w:rFonts w:ascii="Arial" w:eastAsia="Times New Roman" w:hAnsi="Arial" w:cs="Times New Roman"/>
                <w:szCs w:val="20"/>
              </w:rPr>
            </w:pPr>
            <w:r w:rsidRPr="00F331ED">
              <w:rPr>
                <w:rFonts w:ascii="Arial" w:eastAsia="Times New Roman" w:hAnsi="Arial" w:cs="Times New Roman"/>
                <w:szCs w:val="20"/>
              </w:rPr>
              <w:t>Sign Positioning</w:t>
            </w:r>
          </w:p>
          <w:p w:rsidR="00F331ED" w:rsidRPr="00F331ED" w:rsidRDefault="00F331ED" w:rsidP="00F331ED">
            <w:pPr>
              <w:numPr>
                <w:ilvl w:val="0"/>
                <w:numId w:val="22"/>
              </w:numPr>
              <w:overflowPunct w:val="0"/>
              <w:autoSpaceDE w:val="0"/>
              <w:autoSpaceDN w:val="0"/>
              <w:adjustRightInd w:val="0"/>
              <w:spacing w:before="120" w:after="120"/>
              <w:contextualSpacing/>
              <w:jc w:val="both"/>
              <w:textAlignment w:val="baseline"/>
              <w:rPr>
                <w:rFonts w:ascii="Arial" w:eastAsia="Times New Roman" w:hAnsi="Arial" w:cs="Times New Roman"/>
                <w:szCs w:val="20"/>
              </w:rPr>
            </w:pPr>
            <w:r w:rsidRPr="00F331ED">
              <w:rPr>
                <w:rFonts w:ascii="Arial" w:eastAsia="Times New Roman" w:hAnsi="Arial" w:cs="Times New Roman"/>
                <w:szCs w:val="20"/>
              </w:rPr>
              <w:t>Special needs audience to consider:</w:t>
            </w:r>
          </w:p>
          <w:p w:rsidR="00F331ED" w:rsidRPr="00F331ED" w:rsidRDefault="00F331ED" w:rsidP="00F331ED">
            <w:pPr>
              <w:numPr>
                <w:ilvl w:val="1"/>
                <w:numId w:val="22"/>
              </w:numPr>
              <w:overflowPunct w:val="0"/>
              <w:autoSpaceDE w:val="0"/>
              <w:autoSpaceDN w:val="0"/>
              <w:adjustRightInd w:val="0"/>
              <w:spacing w:before="120" w:after="120"/>
              <w:contextualSpacing/>
              <w:jc w:val="both"/>
              <w:textAlignment w:val="baseline"/>
              <w:rPr>
                <w:rFonts w:ascii="Arial" w:eastAsia="Times New Roman" w:hAnsi="Arial" w:cs="Times New Roman"/>
                <w:szCs w:val="20"/>
              </w:rPr>
            </w:pPr>
            <w:r w:rsidRPr="00F331ED">
              <w:rPr>
                <w:rFonts w:ascii="Arial" w:eastAsia="Times New Roman" w:hAnsi="Arial" w:cs="Times New Roman"/>
                <w:szCs w:val="20"/>
              </w:rPr>
              <w:t>Blind or partially sighted;</w:t>
            </w:r>
          </w:p>
          <w:p w:rsidR="00F331ED" w:rsidRPr="00F331ED" w:rsidRDefault="00F331ED" w:rsidP="00F331ED">
            <w:pPr>
              <w:numPr>
                <w:ilvl w:val="1"/>
                <w:numId w:val="22"/>
              </w:numPr>
              <w:overflowPunct w:val="0"/>
              <w:autoSpaceDE w:val="0"/>
              <w:autoSpaceDN w:val="0"/>
              <w:adjustRightInd w:val="0"/>
              <w:spacing w:before="120" w:after="120"/>
              <w:contextualSpacing/>
              <w:jc w:val="both"/>
              <w:textAlignment w:val="baseline"/>
              <w:rPr>
                <w:rFonts w:ascii="Arial" w:eastAsia="Times New Roman" w:hAnsi="Arial" w:cs="Times New Roman"/>
                <w:szCs w:val="20"/>
              </w:rPr>
            </w:pPr>
            <w:r w:rsidRPr="00F331ED">
              <w:rPr>
                <w:rFonts w:ascii="Arial" w:eastAsia="Times New Roman" w:hAnsi="Arial" w:cs="Times New Roman"/>
                <w:szCs w:val="20"/>
              </w:rPr>
              <w:t>Deaf or hard of hearing;</w:t>
            </w:r>
          </w:p>
          <w:p w:rsidR="00F331ED" w:rsidRPr="00F331ED" w:rsidRDefault="00F331ED" w:rsidP="00F331ED">
            <w:pPr>
              <w:numPr>
                <w:ilvl w:val="1"/>
                <w:numId w:val="22"/>
              </w:numPr>
              <w:overflowPunct w:val="0"/>
              <w:autoSpaceDE w:val="0"/>
              <w:autoSpaceDN w:val="0"/>
              <w:adjustRightInd w:val="0"/>
              <w:spacing w:before="120" w:after="120"/>
              <w:contextualSpacing/>
              <w:jc w:val="both"/>
              <w:textAlignment w:val="baseline"/>
              <w:rPr>
                <w:rFonts w:ascii="Arial" w:eastAsia="Times New Roman" w:hAnsi="Arial" w:cs="Times New Roman"/>
                <w:szCs w:val="20"/>
              </w:rPr>
            </w:pPr>
            <w:r w:rsidRPr="00F331ED">
              <w:rPr>
                <w:rFonts w:ascii="Arial" w:eastAsia="Times New Roman" w:hAnsi="Arial" w:cs="Times New Roman"/>
                <w:szCs w:val="20"/>
              </w:rPr>
              <w:t>Cognitive/learning difficulties;</w:t>
            </w:r>
          </w:p>
          <w:p w:rsidR="00F331ED" w:rsidRPr="00F331ED" w:rsidRDefault="00F331ED" w:rsidP="00F331ED">
            <w:pPr>
              <w:numPr>
                <w:ilvl w:val="1"/>
                <w:numId w:val="22"/>
              </w:numPr>
              <w:overflowPunct w:val="0"/>
              <w:autoSpaceDE w:val="0"/>
              <w:autoSpaceDN w:val="0"/>
              <w:adjustRightInd w:val="0"/>
              <w:spacing w:before="120" w:after="120"/>
              <w:contextualSpacing/>
              <w:jc w:val="both"/>
              <w:textAlignment w:val="baseline"/>
              <w:rPr>
                <w:rFonts w:ascii="Arial" w:eastAsia="Times New Roman" w:hAnsi="Arial" w:cs="Times New Roman"/>
                <w:szCs w:val="20"/>
              </w:rPr>
            </w:pPr>
            <w:r w:rsidRPr="00F331ED">
              <w:rPr>
                <w:rFonts w:ascii="Arial" w:eastAsia="Times New Roman" w:hAnsi="Arial" w:cs="Times New Roman"/>
                <w:szCs w:val="20"/>
              </w:rPr>
              <w:t>Wheelchair Users/ambulant difficulties; and</w:t>
            </w:r>
          </w:p>
          <w:p w:rsidR="00F331ED" w:rsidRPr="00F331ED" w:rsidRDefault="00F331ED" w:rsidP="00F331ED">
            <w:pPr>
              <w:numPr>
                <w:ilvl w:val="1"/>
                <w:numId w:val="22"/>
              </w:numPr>
              <w:overflowPunct w:val="0"/>
              <w:autoSpaceDE w:val="0"/>
              <w:autoSpaceDN w:val="0"/>
              <w:adjustRightInd w:val="0"/>
              <w:spacing w:before="120" w:after="120"/>
              <w:contextualSpacing/>
              <w:jc w:val="both"/>
              <w:textAlignment w:val="baseline"/>
              <w:rPr>
                <w:rFonts w:ascii="Arial" w:eastAsia="Times New Roman" w:hAnsi="Arial" w:cs="Times New Roman"/>
                <w:szCs w:val="20"/>
              </w:rPr>
            </w:pPr>
            <w:r w:rsidRPr="00F331ED">
              <w:rPr>
                <w:rFonts w:ascii="Arial" w:eastAsia="Times New Roman" w:hAnsi="Arial" w:cs="Times New Roman"/>
                <w:szCs w:val="20"/>
              </w:rPr>
              <w:t>Dexterity issues.</w:t>
            </w:r>
          </w:p>
          <w:p w:rsidR="00F331ED" w:rsidRPr="00F331ED" w:rsidRDefault="00F331ED" w:rsidP="00F331ED">
            <w:pPr>
              <w:overflowPunct w:val="0"/>
              <w:autoSpaceDE w:val="0"/>
              <w:autoSpaceDN w:val="0"/>
              <w:adjustRightInd w:val="0"/>
              <w:spacing w:before="120" w:after="120"/>
              <w:jc w:val="both"/>
              <w:textAlignment w:val="baseline"/>
              <w:rPr>
                <w:rFonts w:ascii="Arial" w:eastAsia="Times New Roman" w:hAnsi="Arial" w:cs="Times New Roman"/>
                <w:b/>
                <w:szCs w:val="20"/>
                <w:u w:val="single"/>
              </w:rPr>
            </w:pPr>
            <w:r w:rsidRPr="00F331ED">
              <w:rPr>
                <w:rFonts w:ascii="Arial" w:eastAsia="Times New Roman" w:hAnsi="Arial" w:cs="Times New Roman"/>
                <w:b/>
                <w:szCs w:val="20"/>
                <w:u w:val="single"/>
              </w:rPr>
              <w:t>General</w:t>
            </w:r>
          </w:p>
          <w:p w:rsidR="00F331ED" w:rsidRPr="00F331ED" w:rsidRDefault="00F331ED" w:rsidP="00F331ED">
            <w:pPr>
              <w:overflowPunct w:val="0"/>
              <w:autoSpaceDE w:val="0"/>
              <w:autoSpaceDN w:val="0"/>
              <w:adjustRightInd w:val="0"/>
              <w:spacing w:before="120" w:after="120"/>
              <w:jc w:val="both"/>
              <w:textAlignment w:val="baseline"/>
              <w:rPr>
                <w:rFonts w:ascii="Arial" w:eastAsia="Times New Roman" w:hAnsi="Arial" w:cs="Times New Roman"/>
                <w:szCs w:val="20"/>
              </w:rPr>
            </w:pPr>
            <w:r w:rsidRPr="00F331ED">
              <w:rPr>
                <w:rFonts w:ascii="Arial" w:eastAsia="Times New Roman" w:hAnsi="Arial" w:cs="Times New Roman"/>
                <w:szCs w:val="20"/>
              </w:rPr>
              <w:t>The Contractor will be responsible for providing all tools and equipment necessary for the efficient supply and maintenance of the goods and (where applicable) to comply with the manufacturer’s instructions and/or recommendations.</w:t>
            </w:r>
          </w:p>
          <w:p w:rsidR="00F331ED" w:rsidRPr="00F331ED" w:rsidRDefault="00F331ED" w:rsidP="00F331ED">
            <w:pPr>
              <w:overflowPunct w:val="0"/>
              <w:autoSpaceDE w:val="0"/>
              <w:autoSpaceDN w:val="0"/>
              <w:adjustRightInd w:val="0"/>
              <w:spacing w:before="120" w:after="120"/>
              <w:jc w:val="both"/>
              <w:textAlignment w:val="baseline"/>
              <w:rPr>
                <w:rFonts w:ascii="Arial" w:eastAsia="Times New Roman" w:hAnsi="Arial" w:cs="Times New Roman"/>
                <w:szCs w:val="20"/>
              </w:rPr>
            </w:pPr>
            <w:r w:rsidRPr="00F331ED">
              <w:rPr>
                <w:rFonts w:ascii="Arial" w:eastAsia="Times New Roman" w:hAnsi="Arial" w:cs="Times New Roman"/>
                <w:szCs w:val="20"/>
              </w:rPr>
              <w:t>The Contractor shall hold within his premises an adequate store of spares, materials and sundries as necessary to facilitate supply and repairs without delay. At the termination of the Contract, the Contractor may offer surplus spares to the Estates department representative however the Estates department is under no obligation to purchase any surplus stock on termination of the Contract.</w:t>
            </w:r>
          </w:p>
          <w:p w:rsidR="00F331ED" w:rsidRPr="00F331ED" w:rsidRDefault="00F331ED" w:rsidP="00F331ED">
            <w:pPr>
              <w:overflowPunct w:val="0"/>
              <w:autoSpaceDE w:val="0"/>
              <w:autoSpaceDN w:val="0"/>
              <w:adjustRightInd w:val="0"/>
              <w:spacing w:before="120" w:after="120"/>
              <w:jc w:val="both"/>
              <w:textAlignment w:val="baseline"/>
              <w:rPr>
                <w:rFonts w:ascii="Arial" w:eastAsia="Times New Roman" w:hAnsi="Arial" w:cs="Times New Roman"/>
                <w:szCs w:val="20"/>
              </w:rPr>
            </w:pPr>
            <w:r w:rsidRPr="00F331ED">
              <w:rPr>
                <w:rFonts w:ascii="Arial" w:eastAsia="Times New Roman" w:hAnsi="Arial" w:cs="Times New Roman"/>
                <w:szCs w:val="20"/>
              </w:rPr>
              <w:t>The Contractor shall be prepared to carry out work of varying degree and significance at any of the University’s premises within the city of Glasgow, at times to suit the University. The University offers no guarantee as to the extent of the work to be made available to the successful Contractor.</w:t>
            </w:r>
          </w:p>
          <w:p w:rsidR="00F331ED" w:rsidRPr="00F331ED" w:rsidRDefault="00F331ED" w:rsidP="00F331ED">
            <w:pPr>
              <w:overflowPunct w:val="0"/>
              <w:autoSpaceDE w:val="0"/>
              <w:autoSpaceDN w:val="0"/>
              <w:adjustRightInd w:val="0"/>
              <w:spacing w:before="120" w:after="120"/>
              <w:jc w:val="both"/>
              <w:textAlignment w:val="baseline"/>
              <w:rPr>
                <w:rFonts w:ascii="Arial" w:eastAsia="Times New Roman" w:hAnsi="Arial" w:cs="Times New Roman"/>
                <w:szCs w:val="20"/>
              </w:rPr>
            </w:pPr>
            <w:r w:rsidRPr="00F331ED">
              <w:rPr>
                <w:rFonts w:ascii="Arial" w:eastAsia="Times New Roman" w:hAnsi="Arial" w:cs="Times New Roman"/>
                <w:szCs w:val="20"/>
              </w:rPr>
              <w:t>The University accepts no responsibility for the Contractor’s plant, temporary buildings, equipment and materials etc., used to carry out the work. The Contractor shall therefore make their own arrangements to insure items against loss or damage.</w:t>
            </w:r>
          </w:p>
          <w:p w:rsidR="00F331ED" w:rsidRPr="00F331ED" w:rsidRDefault="00F331ED" w:rsidP="00F331ED">
            <w:pPr>
              <w:overflowPunct w:val="0"/>
              <w:autoSpaceDE w:val="0"/>
              <w:autoSpaceDN w:val="0"/>
              <w:adjustRightInd w:val="0"/>
              <w:spacing w:before="120" w:after="120"/>
              <w:jc w:val="both"/>
              <w:textAlignment w:val="baseline"/>
              <w:rPr>
                <w:rFonts w:ascii="Arial" w:eastAsia="Times New Roman" w:hAnsi="Arial" w:cs="Times New Roman"/>
                <w:szCs w:val="20"/>
              </w:rPr>
            </w:pPr>
            <w:r w:rsidRPr="00F331ED">
              <w:rPr>
                <w:rFonts w:ascii="Arial" w:eastAsia="Times New Roman" w:hAnsi="Arial" w:cs="Times New Roman"/>
                <w:szCs w:val="20"/>
              </w:rPr>
              <w:t>All goods or materials used in or supplied are to be new unless otherwise specified. All materials or equipment shall be supplied, handled, used and stored as per the manufacturers and/or recommended instructions. All materials used shall be of the same standard, batch, design etc. unless otherwise agreed with the Estates Manager (or designate).</w:t>
            </w:r>
          </w:p>
          <w:p w:rsidR="00F331ED" w:rsidRPr="00F331ED" w:rsidRDefault="00F331ED" w:rsidP="00F331ED">
            <w:pPr>
              <w:overflowPunct w:val="0"/>
              <w:autoSpaceDE w:val="0"/>
              <w:autoSpaceDN w:val="0"/>
              <w:adjustRightInd w:val="0"/>
              <w:spacing w:before="120" w:after="120"/>
              <w:jc w:val="both"/>
              <w:textAlignment w:val="baseline"/>
              <w:rPr>
                <w:rFonts w:ascii="Arial" w:eastAsia="Times New Roman" w:hAnsi="Arial" w:cs="Times New Roman"/>
                <w:szCs w:val="20"/>
              </w:rPr>
            </w:pPr>
            <w:r w:rsidRPr="00F331ED">
              <w:rPr>
                <w:rFonts w:ascii="Arial" w:eastAsia="Times New Roman" w:hAnsi="Arial" w:cs="Times New Roman"/>
                <w:szCs w:val="20"/>
              </w:rPr>
              <w:lastRenderedPageBreak/>
              <w:t>In the event that proprietary equipment or control systems etc. require diagnostic or remedial action which is beyond the experience of the Contractor’s won staff, the Contractor shall obtain agreement with the Estates Manager or his presentative for the services of the manufacturer.</w:t>
            </w:r>
          </w:p>
          <w:p w:rsidR="005D3F32" w:rsidRPr="00F331ED" w:rsidRDefault="00F331ED" w:rsidP="00F331ED">
            <w:pPr>
              <w:overflowPunct w:val="0"/>
              <w:autoSpaceDE w:val="0"/>
              <w:autoSpaceDN w:val="0"/>
              <w:adjustRightInd w:val="0"/>
              <w:spacing w:before="120" w:after="120"/>
              <w:jc w:val="both"/>
              <w:textAlignment w:val="baseline"/>
              <w:rPr>
                <w:rFonts w:ascii="Arial" w:eastAsia="Times New Roman" w:hAnsi="Arial" w:cs="Times New Roman"/>
                <w:szCs w:val="20"/>
              </w:rPr>
            </w:pPr>
            <w:r w:rsidRPr="00F331ED">
              <w:rPr>
                <w:rFonts w:ascii="Arial" w:eastAsia="Times New Roman" w:hAnsi="Arial" w:cs="Times New Roman"/>
                <w:szCs w:val="20"/>
              </w:rPr>
              <w:t>Existing buildings will be occupied and/or used during the work period. The Contractor will inform the Estates Manager (or designate) of any difficulty which may affect execution of the work. The work will be undertaken with undue inconvenience and nuisance and withou</w:t>
            </w:r>
            <w:r>
              <w:rPr>
                <w:rFonts w:ascii="Arial" w:eastAsia="Times New Roman" w:hAnsi="Arial" w:cs="Times New Roman"/>
                <w:szCs w:val="20"/>
              </w:rPr>
              <w:t>t danger to occupants and users.</w:t>
            </w:r>
          </w:p>
          <w:p w:rsidR="005D3F32" w:rsidRDefault="005D3F32" w:rsidP="005D3F32">
            <w:pPr>
              <w:jc w:val="both"/>
              <w:rPr>
                <w:rFonts w:ascii="Arial" w:hAnsi="Arial" w:cs="Arial"/>
              </w:rPr>
            </w:pPr>
          </w:p>
        </w:tc>
      </w:tr>
    </w:tbl>
    <w:p w:rsidR="005D3F32" w:rsidRDefault="005D3F32" w:rsidP="005D3F32">
      <w:pPr>
        <w:pStyle w:val="ListParagraph"/>
        <w:ind w:left="360"/>
        <w:jc w:val="both"/>
        <w:rPr>
          <w:rFonts w:ascii="Arial" w:hAnsi="Arial" w:cs="Arial"/>
          <w:u w:val="single"/>
        </w:rPr>
      </w:pPr>
    </w:p>
    <w:tbl>
      <w:tblPr>
        <w:tblStyle w:val="TableGrid"/>
        <w:tblW w:w="0" w:type="auto"/>
        <w:tblInd w:w="108" w:type="dxa"/>
        <w:tblLook w:val="04A0" w:firstRow="1" w:lastRow="0" w:firstColumn="1" w:lastColumn="0" w:noHBand="0" w:noVBand="1"/>
      </w:tblPr>
      <w:tblGrid>
        <w:gridCol w:w="9134"/>
      </w:tblGrid>
      <w:tr w:rsidR="005D3F32" w:rsidTr="009C6BAD">
        <w:tc>
          <w:tcPr>
            <w:tcW w:w="9134" w:type="dxa"/>
            <w:shd w:val="clear" w:color="auto" w:fill="D9D9D9" w:themeFill="background1" w:themeFillShade="D9"/>
          </w:tcPr>
          <w:p w:rsidR="005D3F32" w:rsidRPr="00C16926" w:rsidRDefault="005D3F32" w:rsidP="005D3F32">
            <w:pPr>
              <w:pStyle w:val="ListParagraph"/>
              <w:ind w:left="360" w:hanging="326"/>
              <w:jc w:val="both"/>
              <w:rPr>
                <w:rFonts w:ascii="Arial" w:hAnsi="Arial" w:cs="Arial"/>
                <w:u w:val="single"/>
              </w:rPr>
            </w:pPr>
            <w:r w:rsidRPr="00C16926">
              <w:rPr>
                <w:rFonts w:ascii="Arial" w:hAnsi="Arial" w:cs="Arial"/>
                <w:u w:val="single"/>
              </w:rPr>
              <w:t xml:space="preserve">Legislative Requirements </w:t>
            </w:r>
            <w:r w:rsidRPr="005A38BA">
              <w:rPr>
                <w:rFonts w:ascii="Arial" w:hAnsi="Arial" w:cs="Arial"/>
                <w:i/>
                <w:color w:val="0070C0"/>
                <w:u w:val="single"/>
              </w:rPr>
              <w:t>(Statement of Requirements)</w:t>
            </w:r>
          </w:p>
          <w:p w:rsidR="005D3F32" w:rsidRDefault="005D3F32" w:rsidP="005D3F32">
            <w:pPr>
              <w:pStyle w:val="ListParagraph"/>
              <w:ind w:left="360" w:hanging="326"/>
              <w:jc w:val="both"/>
              <w:rPr>
                <w:rFonts w:ascii="Arial" w:hAnsi="Arial" w:cs="Arial"/>
              </w:rPr>
            </w:pPr>
          </w:p>
        </w:tc>
      </w:tr>
      <w:tr w:rsidR="005D3F32" w:rsidTr="005D3F32">
        <w:tc>
          <w:tcPr>
            <w:tcW w:w="9134" w:type="dxa"/>
          </w:tcPr>
          <w:p w:rsidR="00F331ED" w:rsidRPr="00F331ED" w:rsidRDefault="00F331ED" w:rsidP="00F331ED">
            <w:pPr>
              <w:overflowPunct w:val="0"/>
              <w:autoSpaceDE w:val="0"/>
              <w:autoSpaceDN w:val="0"/>
              <w:adjustRightInd w:val="0"/>
              <w:spacing w:before="120" w:after="120"/>
              <w:jc w:val="both"/>
              <w:textAlignment w:val="baseline"/>
              <w:rPr>
                <w:rFonts w:ascii="Arial" w:eastAsia="Times New Roman" w:hAnsi="Arial" w:cs="Times New Roman"/>
                <w:szCs w:val="20"/>
              </w:rPr>
            </w:pPr>
            <w:r w:rsidRPr="00F331ED">
              <w:rPr>
                <w:rFonts w:ascii="Arial" w:eastAsia="Times New Roman" w:hAnsi="Arial" w:cs="Times New Roman"/>
                <w:szCs w:val="20"/>
              </w:rPr>
              <w:t>The Contractor shall comply with the relevant statutory regulations and other regulations produced by the relevant authorities. These notably include regulations under The Factories Act, The Health &amp; Safety at Work Act 1974. The Electricity at Work Act, The Waste Electric and Electronic Equipment (WEEE) Regulations 2013 and appropriate regulations and any special requirements and fire-fighting authority. Compliance with Glasgow Caledonian University Policies relating to safety, the Environment, Waste Minimisation and codes of practice and to Waste Duty of Care etc. must be achieved.</w:t>
            </w:r>
          </w:p>
          <w:p w:rsidR="00F331ED" w:rsidRPr="00F331ED" w:rsidRDefault="00F331ED" w:rsidP="00F331ED">
            <w:pPr>
              <w:overflowPunct w:val="0"/>
              <w:autoSpaceDE w:val="0"/>
              <w:autoSpaceDN w:val="0"/>
              <w:adjustRightInd w:val="0"/>
              <w:spacing w:before="120" w:after="120"/>
              <w:jc w:val="both"/>
              <w:textAlignment w:val="baseline"/>
              <w:rPr>
                <w:rFonts w:ascii="Arial" w:eastAsia="Times New Roman" w:hAnsi="Arial" w:cs="Times New Roman"/>
                <w:szCs w:val="20"/>
              </w:rPr>
            </w:pPr>
          </w:p>
          <w:p w:rsidR="00F331ED" w:rsidRPr="00F331ED" w:rsidRDefault="00F331ED" w:rsidP="00F331ED">
            <w:pPr>
              <w:overflowPunct w:val="0"/>
              <w:autoSpaceDE w:val="0"/>
              <w:autoSpaceDN w:val="0"/>
              <w:adjustRightInd w:val="0"/>
              <w:spacing w:before="120" w:after="120"/>
              <w:jc w:val="both"/>
              <w:textAlignment w:val="baseline"/>
              <w:rPr>
                <w:rFonts w:ascii="Arial" w:eastAsia="Times New Roman" w:hAnsi="Arial" w:cs="Times New Roman"/>
                <w:szCs w:val="20"/>
              </w:rPr>
            </w:pPr>
            <w:r w:rsidRPr="00F331ED">
              <w:rPr>
                <w:rFonts w:ascii="Arial" w:eastAsia="Times New Roman" w:hAnsi="Arial" w:cs="Times New Roman"/>
                <w:szCs w:val="20"/>
              </w:rPr>
              <w:t>Specific to the nature of the Contract, the Contractor must be compliant with the following, current in force legislation and regulations appropriate to the services though out the duration of the Contract:</w:t>
            </w:r>
          </w:p>
          <w:p w:rsidR="00F331ED" w:rsidRPr="00F331ED" w:rsidRDefault="00F331ED" w:rsidP="00F331ED">
            <w:pPr>
              <w:numPr>
                <w:ilvl w:val="0"/>
                <w:numId w:val="21"/>
              </w:numPr>
              <w:tabs>
                <w:tab w:val="left" w:pos="709"/>
                <w:tab w:val="left" w:pos="2127"/>
              </w:tabs>
              <w:overflowPunct w:val="0"/>
              <w:autoSpaceDE w:val="0"/>
              <w:autoSpaceDN w:val="0"/>
              <w:adjustRightInd w:val="0"/>
              <w:spacing w:before="120" w:after="120"/>
              <w:ind w:hanging="468"/>
              <w:jc w:val="both"/>
              <w:textAlignment w:val="baseline"/>
              <w:rPr>
                <w:rFonts w:ascii="Arial" w:eastAsia="Times New Roman" w:hAnsi="Arial" w:cs="Arial"/>
                <w:shd w:val="clear" w:color="auto" w:fill="FFFFFF"/>
              </w:rPr>
            </w:pPr>
            <w:r w:rsidRPr="00F331ED">
              <w:rPr>
                <w:rFonts w:ascii="Arial" w:eastAsia="Times New Roman" w:hAnsi="Arial" w:cs="Arial"/>
                <w:shd w:val="clear" w:color="auto" w:fill="FFFFFF"/>
              </w:rPr>
              <w:t xml:space="preserve">BS 559:2009 Specification for the design and construction of signs for publicity, </w:t>
            </w:r>
            <w:r w:rsidRPr="00F331ED">
              <w:rPr>
                <w:rFonts w:ascii="Arial" w:eastAsia="Times New Roman" w:hAnsi="Arial" w:cs="Arial"/>
                <w:shd w:val="clear" w:color="auto" w:fill="FFFFFF"/>
              </w:rPr>
              <w:tab/>
              <w:t xml:space="preserve"> decorative and general purposes</w:t>
            </w:r>
          </w:p>
          <w:p w:rsidR="00F331ED" w:rsidRPr="00F331ED" w:rsidRDefault="00F331ED" w:rsidP="00F331ED">
            <w:pPr>
              <w:numPr>
                <w:ilvl w:val="0"/>
                <w:numId w:val="21"/>
              </w:numPr>
              <w:tabs>
                <w:tab w:val="left" w:pos="709"/>
                <w:tab w:val="left" w:pos="2127"/>
              </w:tabs>
              <w:overflowPunct w:val="0"/>
              <w:autoSpaceDE w:val="0"/>
              <w:autoSpaceDN w:val="0"/>
              <w:adjustRightInd w:val="0"/>
              <w:spacing w:before="120" w:after="120"/>
              <w:ind w:hanging="468"/>
              <w:jc w:val="both"/>
              <w:textAlignment w:val="baseline"/>
              <w:rPr>
                <w:rFonts w:ascii="Arial" w:eastAsia="Times New Roman" w:hAnsi="Arial" w:cs="Arial"/>
                <w:shd w:val="clear" w:color="auto" w:fill="FFFFFF"/>
              </w:rPr>
            </w:pPr>
            <w:r w:rsidRPr="00F331ED">
              <w:rPr>
                <w:rFonts w:ascii="Arial" w:eastAsia="Times New Roman" w:hAnsi="Arial" w:cs="Arial"/>
                <w:shd w:val="clear" w:color="auto" w:fill="FFFFFF"/>
              </w:rPr>
              <w:t>BS 559 specifies requirements for the design and construction of signs for publicity, decorative or general purposes, at internal or external locations. It is applicable to</w:t>
            </w:r>
            <w:r w:rsidRPr="00F331ED">
              <w:rPr>
                <w:rFonts w:ascii="Arial" w:eastAsia="Times New Roman" w:hAnsi="Arial" w:cs="Arial"/>
                <w:shd w:val="clear" w:color="auto" w:fill="FFFFFF"/>
              </w:rPr>
              <w:tab/>
              <w:t xml:space="preserve">  both illuminated and non</w:t>
            </w:r>
            <w:r w:rsidRPr="00F331ED">
              <w:rPr>
                <w:rFonts w:ascii="MS Gothic" w:eastAsia="MS Gothic" w:hAnsi="MS Gothic" w:cs="Arial"/>
                <w:shd w:val="clear" w:color="auto" w:fill="FFFFFF"/>
              </w:rPr>
              <w:t>-</w:t>
            </w:r>
            <w:r w:rsidRPr="00F331ED">
              <w:rPr>
                <w:rFonts w:ascii="Arial" w:eastAsia="Times New Roman" w:hAnsi="Arial" w:cs="Arial"/>
                <w:shd w:val="clear" w:color="auto" w:fill="FFFFFF"/>
              </w:rPr>
              <w:t>illuminated signs, whether fixed or portable.</w:t>
            </w:r>
          </w:p>
          <w:p w:rsidR="00F331ED" w:rsidRPr="00F331ED" w:rsidRDefault="00F331ED" w:rsidP="00F331ED">
            <w:pPr>
              <w:numPr>
                <w:ilvl w:val="0"/>
                <w:numId w:val="21"/>
              </w:numPr>
              <w:tabs>
                <w:tab w:val="left" w:pos="709"/>
                <w:tab w:val="left" w:pos="2127"/>
              </w:tabs>
              <w:overflowPunct w:val="0"/>
              <w:autoSpaceDE w:val="0"/>
              <w:autoSpaceDN w:val="0"/>
              <w:adjustRightInd w:val="0"/>
              <w:spacing w:before="120" w:after="120"/>
              <w:ind w:hanging="468"/>
              <w:jc w:val="both"/>
              <w:textAlignment w:val="baseline"/>
              <w:rPr>
                <w:rFonts w:ascii="Arial" w:eastAsia="Times New Roman" w:hAnsi="Arial" w:cs="Arial"/>
                <w:shd w:val="clear" w:color="auto" w:fill="FFFFFF"/>
              </w:rPr>
            </w:pPr>
            <w:r w:rsidRPr="00F331ED">
              <w:rPr>
                <w:rFonts w:ascii="Arial" w:eastAsia="Times New Roman" w:hAnsi="Arial" w:cs="Arial"/>
                <w:szCs w:val="20"/>
              </w:rPr>
              <w:t>BS 8501:2002 Graphical symbols and signs. Public information symbols</w:t>
            </w:r>
          </w:p>
          <w:p w:rsidR="00F331ED" w:rsidRPr="00F331ED" w:rsidRDefault="00F331ED" w:rsidP="00F331ED">
            <w:pPr>
              <w:numPr>
                <w:ilvl w:val="0"/>
                <w:numId w:val="21"/>
              </w:numPr>
              <w:tabs>
                <w:tab w:val="left" w:pos="709"/>
                <w:tab w:val="left" w:pos="2127"/>
              </w:tabs>
              <w:overflowPunct w:val="0"/>
              <w:autoSpaceDE w:val="0"/>
              <w:autoSpaceDN w:val="0"/>
              <w:adjustRightInd w:val="0"/>
              <w:spacing w:before="120" w:after="120"/>
              <w:ind w:hanging="468"/>
              <w:jc w:val="both"/>
              <w:textAlignment w:val="baseline"/>
              <w:rPr>
                <w:rFonts w:ascii="Arial" w:eastAsia="Times New Roman" w:hAnsi="Arial" w:cs="Arial"/>
                <w:shd w:val="clear" w:color="auto" w:fill="FFFFFF"/>
              </w:rPr>
            </w:pPr>
            <w:r w:rsidRPr="00F331ED">
              <w:rPr>
                <w:rFonts w:ascii="Arial" w:eastAsia="Times New Roman" w:hAnsi="Arial" w:cs="Arial"/>
                <w:szCs w:val="20"/>
              </w:rPr>
              <w:t>BS ISO 3864-3:2012 Graphical symbols. Safety colours and safety signs. Design principles for graphical symbols for use in safety signs</w:t>
            </w:r>
          </w:p>
          <w:p w:rsidR="00F331ED" w:rsidRPr="00F331ED" w:rsidRDefault="00F331ED" w:rsidP="00F331ED">
            <w:pPr>
              <w:keepNext/>
              <w:numPr>
                <w:ilvl w:val="0"/>
                <w:numId w:val="21"/>
              </w:numPr>
              <w:overflowPunct w:val="0"/>
              <w:autoSpaceDE w:val="0"/>
              <w:autoSpaceDN w:val="0"/>
              <w:adjustRightInd w:val="0"/>
              <w:spacing w:before="240" w:after="120"/>
              <w:ind w:hanging="468"/>
              <w:jc w:val="both"/>
              <w:textAlignment w:val="baseline"/>
              <w:outlineLvl w:val="1"/>
              <w:rPr>
                <w:rFonts w:ascii="Arial" w:eastAsia="Times New Roman" w:hAnsi="Arial" w:cs="Arial"/>
              </w:rPr>
            </w:pPr>
            <w:r w:rsidRPr="00F331ED">
              <w:rPr>
                <w:rFonts w:ascii="Arial" w:eastAsia="Times New Roman" w:hAnsi="Arial" w:cs="Arial"/>
              </w:rPr>
              <w:t>BS 9999:2008 Fire safety code of practice for the design, management and use of buildings</w:t>
            </w:r>
          </w:p>
          <w:p w:rsidR="00F331ED" w:rsidRPr="00F331ED" w:rsidRDefault="00F331ED" w:rsidP="00F331ED">
            <w:pPr>
              <w:numPr>
                <w:ilvl w:val="0"/>
                <w:numId w:val="21"/>
              </w:numPr>
              <w:overflowPunct w:val="0"/>
              <w:autoSpaceDE w:val="0"/>
              <w:autoSpaceDN w:val="0"/>
              <w:adjustRightInd w:val="0"/>
              <w:spacing w:before="120" w:after="100" w:afterAutospacing="1"/>
              <w:ind w:hanging="468"/>
              <w:jc w:val="both"/>
              <w:textAlignment w:val="baseline"/>
              <w:rPr>
                <w:rFonts w:ascii="Arial" w:eastAsia="Arial Unicode MS" w:hAnsi="Arial" w:cs="Arial"/>
                <w:color w:val="333333"/>
              </w:rPr>
            </w:pPr>
            <w:r w:rsidRPr="00F331ED">
              <w:rPr>
                <w:rFonts w:ascii="Arial" w:eastAsia="Arial Unicode MS" w:hAnsi="Arial" w:cs="Arial"/>
                <w:color w:val="333333"/>
              </w:rPr>
              <w:t xml:space="preserve">BS 9999:2008 is the </w:t>
            </w:r>
            <w:hyperlink r:id="rId10" w:history="1">
              <w:r w:rsidRPr="00F331ED">
                <w:rPr>
                  <w:rFonts w:ascii="Arial" w:eastAsia="Arial Unicode MS" w:hAnsi="Arial" w:cs="Arial"/>
                  <w:color w:val="0000FF"/>
                  <w:u w:val="single"/>
                </w:rPr>
                <w:t>fire safety</w:t>
              </w:r>
            </w:hyperlink>
            <w:r w:rsidRPr="00F331ED">
              <w:rPr>
                <w:rFonts w:ascii="Arial" w:eastAsia="Arial Unicode MS" w:hAnsi="Arial" w:cs="Arial"/>
                <w:color w:val="333333"/>
              </w:rPr>
              <w:t xml:space="preserve"> code of practice for building design, management and use. The standard outlines ways to meet fire safety legislation through a more flexible approach to design.</w:t>
            </w:r>
          </w:p>
          <w:p w:rsidR="00F331ED" w:rsidRPr="00F331ED" w:rsidRDefault="00F331ED" w:rsidP="00F331ED">
            <w:pPr>
              <w:numPr>
                <w:ilvl w:val="0"/>
                <w:numId w:val="21"/>
              </w:numPr>
              <w:overflowPunct w:val="0"/>
              <w:autoSpaceDE w:val="0"/>
              <w:autoSpaceDN w:val="0"/>
              <w:adjustRightInd w:val="0"/>
              <w:spacing w:before="120" w:after="100" w:afterAutospacing="1"/>
              <w:ind w:left="714" w:hanging="468"/>
              <w:jc w:val="both"/>
              <w:textAlignment w:val="baseline"/>
              <w:rPr>
                <w:rFonts w:ascii="Arial" w:eastAsia="Arial Unicode MS" w:hAnsi="Arial" w:cs="Arial"/>
                <w:color w:val="333333"/>
              </w:rPr>
            </w:pPr>
            <w:r w:rsidRPr="00F331ED">
              <w:rPr>
                <w:rFonts w:ascii="Arial" w:eastAsia="Arial Unicode MS" w:hAnsi="Arial" w:cs="Arial"/>
                <w:color w:val="333333"/>
              </w:rPr>
              <w:t xml:space="preserve">BS 9999:2008 provides a risk-based structure that takes varying human factors into account, including improving emergency exit access for disabled people. The standard can be used in and around existing buildings, at design stage for new buildings or extensions, and also applies to alterations, extensions and changes of use of an existing building. It also provides an assessment tool to ensure fire safety strategy remains robust. </w:t>
            </w:r>
          </w:p>
          <w:p w:rsidR="00F331ED" w:rsidRDefault="00F331ED" w:rsidP="00F331ED">
            <w:pPr>
              <w:numPr>
                <w:ilvl w:val="0"/>
                <w:numId w:val="21"/>
              </w:numPr>
              <w:overflowPunct w:val="0"/>
              <w:autoSpaceDE w:val="0"/>
              <w:autoSpaceDN w:val="0"/>
              <w:adjustRightInd w:val="0"/>
              <w:spacing w:before="100" w:beforeAutospacing="1" w:after="100" w:afterAutospacing="1"/>
              <w:ind w:left="714" w:hanging="468"/>
              <w:jc w:val="both"/>
              <w:textAlignment w:val="baseline"/>
              <w:rPr>
                <w:rFonts w:ascii="Arial" w:eastAsia="Arial Unicode MS" w:hAnsi="Arial" w:cs="Arial"/>
              </w:rPr>
            </w:pPr>
            <w:r w:rsidRPr="00F331ED">
              <w:rPr>
                <w:rFonts w:ascii="Arial" w:eastAsia="Arial Unicode MS" w:hAnsi="Arial" w:cs="Arial"/>
              </w:rPr>
              <w:t>BS 5499-10:2006 Safety signs, including fire safety signs. Code of practice for the use of safety signs, including fire safety signs</w:t>
            </w:r>
          </w:p>
          <w:p w:rsidR="00F331ED" w:rsidRPr="00F331ED" w:rsidRDefault="00F331ED" w:rsidP="00F331ED">
            <w:pPr>
              <w:overflowPunct w:val="0"/>
              <w:autoSpaceDE w:val="0"/>
              <w:autoSpaceDN w:val="0"/>
              <w:adjustRightInd w:val="0"/>
              <w:spacing w:before="100" w:beforeAutospacing="1" w:after="100" w:afterAutospacing="1"/>
              <w:ind w:left="714"/>
              <w:jc w:val="both"/>
              <w:textAlignment w:val="baseline"/>
              <w:rPr>
                <w:rFonts w:ascii="Arial" w:eastAsia="Arial Unicode MS" w:hAnsi="Arial" w:cs="Arial"/>
              </w:rPr>
            </w:pPr>
          </w:p>
          <w:p w:rsidR="00F331ED" w:rsidRPr="00F331ED" w:rsidRDefault="00F331ED" w:rsidP="00F331ED">
            <w:pPr>
              <w:numPr>
                <w:ilvl w:val="0"/>
                <w:numId w:val="21"/>
              </w:numPr>
              <w:shd w:val="clear" w:color="auto" w:fill="FFFFFF"/>
              <w:overflowPunct w:val="0"/>
              <w:autoSpaceDE w:val="0"/>
              <w:autoSpaceDN w:val="0"/>
              <w:adjustRightInd w:val="0"/>
              <w:spacing w:before="120"/>
              <w:ind w:hanging="468"/>
              <w:contextualSpacing/>
              <w:jc w:val="both"/>
              <w:textAlignment w:val="baseline"/>
              <w:outlineLvl w:val="1"/>
              <w:rPr>
                <w:rFonts w:ascii="Arial" w:eastAsia="Times New Roman" w:hAnsi="Arial" w:cs="Arial"/>
                <w:color w:val="333333"/>
              </w:rPr>
            </w:pPr>
            <w:r w:rsidRPr="00F331ED">
              <w:rPr>
                <w:rFonts w:ascii="Arial" w:eastAsia="Times New Roman" w:hAnsi="Arial" w:cs="Arial"/>
                <w:color w:val="333333"/>
              </w:rPr>
              <w:lastRenderedPageBreak/>
              <w:t xml:space="preserve">BS 5499-10:2006 improves public safety by providing guidance on the use of safety signs and </w:t>
            </w:r>
            <w:hyperlink r:id="rId11" w:history="1">
              <w:r w:rsidRPr="00F331ED">
                <w:rPr>
                  <w:rFonts w:ascii="Arial" w:eastAsia="Times New Roman" w:hAnsi="Arial" w:cs="Arial"/>
                  <w:color w:val="0000FF"/>
                  <w:u w:val="single"/>
                </w:rPr>
                <w:t>fire safety</w:t>
              </w:r>
            </w:hyperlink>
            <w:r w:rsidRPr="00F331ED">
              <w:rPr>
                <w:rFonts w:ascii="Arial" w:eastAsia="Times New Roman" w:hAnsi="Arial" w:cs="Arial"/>
                <w:color w:val="333333"/>
              </w:rPr>
              <w:t xml:space="preserve"> signs and is intended to be applied in situations </w:t>
            </w:r>
          </w:p>
          <w:p w:rsidR="00F331ED" w:rsidRPr="00F331ED" w:rsidRDefault="00F331ED" w:rsidP="00F331ED">
            <w:pPr>
              <w:shd w:val="clear" w:color="auto" w:fill="FFFFFF"/>
              <w:spacing w:before="120"/>
              <w:ind w:left="720"/>
              <w:contextualSpacing/>
              <w:jc w:val="both"/>
              <w:outlineLvl w:val="1"/>
              <w:rPr>
                <w:rFonts w:ascii="Arial" w:eastAsia="Times New Roman" w:hAnsi="Arial" w:cs="Arial"/>
                <w:color w:val="333333"/>
              </w:rPr>
            </w:pPr>
          </w:p>
          <w:p w:rsidR="005D3F32" w:rsidRPr="00F331ED" w:rsidRDefault="00F331ED" w:rsidP="00F331ED">
            <w:pPr>
              <w:numPr>
                <w:ilvl w:val="0"/>
                <w:numId w:val="21"/>
              </w:numPr>
              <w:shd w:val="clear" w:color="auto" w:fill="FFFFFF"/>
              <w:overflowPunct w:val="0"/>
              <w:autoSpaceDE w:val="0"/>
              <w:autoSpaceDN w:val="0"/>
              <w:adjustRightInd w:val="0"/>
              <w:spacing w:before="120"/>
              <w:ind w:left="641" w:hanging="357"/>
              <w:contextualSpacing/>
              <w:jc w:val="both"/>
              <w:textAlignment w:val="baseline"/>
              <w:outlineLvl w:val="1"/>
              <w:rPr>
                <w:rFonts w:ascii="Arial" w:eastAsia="Times New Roman" w:hAnsi="Arial" w:cs="Arial"/>
                <w:bCs/>
                <w:kern w:val="36"/>
                <w:lang w:eastAsia="en-GB"/>
              </w:rPr>
            </w:pPr>
            <w:r w:rsidRPr="00F331ED">
              <w:rPr>
                <w:rFonts w:ascii="Arial" w:eastAsia="Times New Roman" w:hAnsi="Arial" w:cs="Arial"/>
                <w:bCs/>
                <w:kern w:val="36"/>
                <w:lang w:eastAsia="en-GB"/>
              </w:rPr>
              <w:t xml:space="preserve">BS ISO 17049:2013 </w:t>
            </w:r>
            <w:r w:rsidRPr="00F331ED">
              <w:rPr>
                <w:rFonts w:ascii="Arial" w:eastAsia="Times New Roman" w:hAnsi="Arial" w:cs="Arial"/>
                <w:lang w:eastAsia="en-GB"/>
              </w:rPr>
              <w:t>Accessible design. Application of braille on signage, equipment and appliances</w:t>
            </w:r>
            <w:r>
              <w:rPr>
                <w:rFonts w:ascii="Arial" w:eastAsia="Times New Roman" w:hAnsi="Arial" w:cs="Arial"/>
                <w:bCs/>
                <w:kern w:val="36"/>
                <w:lang w:eastAsia="en-GB"/>
              </w:rPr>
              <w:t>.</w:t>
            </w:r>
          </w:p>
        </w:tc>
      </w:tr>
    </w:tbl>
    <w:p w:rsidR="005D3F32" w:rsidRDefault="005D3F32" w:rsidP="005D3F32">
      <w:pPr>
        <w:pStyle w:val="ListParagraph"/>
        <w:ind w:left="360"/>
        <w:jc w:val="both"/>
        <w:rPr>
          <w:rFonts w:ascii="Arial" w:hAnsi="Arial" w:cs="Arial"/>
          <w:u w:val="single"/>
        </w:rPr>
      </w:pPr>
    </w:p>
    <w:p w:rsidR="005D3F32" w:rsidRDefault="005D3F32" w:rsidP="005D3F32">
      <w:pPr>
        <w:pStyle w:val="ListParagraph"/>
        <w:ind w:left="360"/>
        <w:jc w:val="both"/>
        <w:rPr>
          <w:rFonts w:ascii="Arial" w:hAnsi="Arial" w:cs="Arial"/>
          <w:u w:val="single"/>
        </w:rPr>
      </w:pPr>
    </w:p>
    <w:tbl>
      <w:tblPr>
        <w:tblStyle w:val="TableGrid"/>
        <w:tblW w:w="0" w:type="auto"/>
        <w:tblInd w:w="108" w:type="dxa"/>
        <w:tblLook w:val="04A0" w:firstRow="1" w:lastRow="0" w:firstColumn="1" w:lastColumn="0" w:noHBand="0" w:noVBand="1"/>
      </w:tblPr>
      <w:tblGrid>
        <w:gridCol w:w="9134"/>
      </w:tblGrid>
      <w:tr w:rsidR="005D3F32" w:rsidTr="009C6BAD">
        <w:tc>
          <w:tcPr>
            <w:tcW w:w="9134" w:type="dxa"/>
            <w:shd w:val="clear" w:color="auto" w:fill="D9D9D9" w:themeFill="background1" w:themeFillShade="D9"/>
          </w:tcPr>
          <w:p w:rsidR="005D3F32" w:rsidRPr="00C16926" w:rsidRDefault="005D3F32" w:rsidP="005D3F32">
            <w:pPr>
              <w:pStyle w:val="ListParagraph"/>
              <w:ind w:left="360" w:hanging="326"/>
              <w:jc w:val="both"/>
              <w:rPr>
                <w:rFonts w:ascii="Arial" w:hAnsi="Arial" w:cs="Arial"/>
                <w:u w:val="single"/>
              </w:rPr>
            </w:pPr>
            <w:r w:rsidRPr="00C16926">
              <w:rPr>
                <w:rFonts w:ascii="Arial" w:hAnsi="Arial" w:cs="Arial"/>
                <w:u w:val="single"/>
              </w:rPr>
              <w:t xml:space="preserve">Qualification Requirements </w:t>
            </w:r>
            <w:r w:rsidRPr="005A38BA">
              <w:rPr>
                <w:rFonts w:ascii="Arial" w:hAnsi="Arial" w:cs="Arial"/>
                <w:i/>
                <w:color w:val="0070C0"/>
                <w:u w:val="single"/>
              </w:rPr>
              <w:t>(Statement of Requirements)</w:t>
            </w:r>
          </w:p>
          <w:p w:rsidR="005D3F32" w:rsidRDefault="005D3F32" w:rsidP="005D3F32">
            <w:pPr>
              <w:pStyle w:val="ListParagraph"/>
              <w:ind w:left="360" w:hanging="326"/>
              <w:jc w:val="both"/>
              <w:rPr>
                <w:rFonts w:ascii="Arial" w:hAnsi="Arial" w:cs="Arial"/>
              </w:rPr>
            </w:pPr>
          </w:p>
        </w:tc>
      </w:tr>
      <w:tr w:rsidR="005D3F32" w:rsidTr="005D3F32">
        <w:tc>
          <w:tcPr>
            <w:tcW w:w="9134" w:type="dxa"/>
          </w:tcPr>
          <w:p w:rsidR="00F331ED" w:rsidRPr="00F331ED" w:rsidRDefault="00F331ED" w:rsidP="00F331ED">
            <w:pPr>
              <w:spacing w:before="100" w:beforeAutospacing="1" w:after="100" w:afterAutospacing="1"/>
              <w:rPr>
                <w:rFonts w:ascii="Arial" w:eastAsia="Arial Unicode MS" w:hAnsi="Arial" w:cs="Arial"/>
              </w:rPr>
            </w:pPr>
            <w:r w:rsidRPr="00F331ED">
              <w:rPr>
                <w:rFonts w:ascii="Arial" w:eastAsia="Arial Unicode MS" w:hAnsi="Arial" w:cs="Arial"/>
              </w:rPr>
              <w:t xml:space="preserve">The Contractor shall employ fully skilled personnel of the particular trade and shall allow for the proper supervision of the work and quality assurance of the goods.  The cost of management/supervision/quality shall be inclusive in the agreed rates. The use of new skilled operatives or apprentices on the services shall be communicated to the Estates Manager (or their designate) prior to work commencing. </w:t>
            </w:r>
          </w:p>
          <w:p w:rsidR="00F331ED" w:rsidRPr="00F331ED" w:rsidRDefault="00F331ED" w:rsidP="00F331ED">
            <w:pPr>
              <w:spacing w:before="100" w:beforeAutospacing="1" w:after="100" w:afterAutospacing="1"/>
              <w:rPr>
                <w:rFonts w:ascii="Arial" w:eastAsia="Arial Unicode MS" w:hAnsi="Arial" w:cs="Arial"/>
              </w:rPr>
            </w:pPr>
            <w:r w:rsidRPr="00F331ED">
              <w:rPr>
                <w:rFonts w:ascii="Arial" w:eastAsia="Arial Unicode MS" w:hAnsi="Arial" w:cs="Arial"/>
              </w:rPr>
              <w:t xml:space="preserve">All relevant staff directly providing the services should be trained to Level 2/3 (NVQ) Diploma in Sign making or equivalent experience and those staff which will be responsible for the installation of signage should hold Construction Skills Certification Scheme (CSCS) card. </w:t>
            </w:r>
          </w:p>
          <w:p w:rsidR="00F331ED" w:rsidRPr="00F331ED" w:rsidRDefault="00F331ED" w:rsidP="00F331ED">
            <w:pPr>
              <w:tabs>
                <w:tab w:val="left" w:pos="0"/>
              </w:tabs>
              <w:overflowPunct w:val="0"/>
              <w:autoSpaceDE w:val="0"/>
              <w:autoSpaceDN w:val="0"/>
              <w:adjustRightInd w:val="0"/>
              <w:jc w:val="both"/>
              <w:textAlignment w:val="baseline"/>
              <w:rPr>
                <w:rFonts w:ascii="Arial" w:eastAsia="Times New Roman" w:hAnsi="Arial" w:cs="Arial"/>
                <w:shd w:val="clear" w:color="auto" w:fill="FFFFFF"/>
              </w:rPr>
            </w:pPr>
            <w:r w:rsidRPr="00F331ED">
              <w:rPr>
                <w:rFonts w:ascii="Arial" w:eastAsia="Times New Roman" w:hAnsi="Arial" w:cs="Arial"/>
                <w:shd w:val="clear" w:color="auto" w:fill="FFFFFF"/>
              </w:rPr>
              <w:t>All staff will be trained and qualified to carry out the works and the Contractor shall provide confirmation that staff directly providing the services have been trained with respect to Asbestos Awareness and Environmental waste disposal.</w:t>
            </w:r>
          </w:p>
          <w:p w:rsidR="005D3F32" w:rsidRDefault="005D3F32" w:rsidP="005D3F32">
            <w:pPr>
              <w:jc w:val="both"/>
              <w:rPr>
                <w:rFonts w:ascii="Arial" w:hAnsi="Arial" w:cs="Arial"/>
              </w:rPr>
            </w:pPr>
          </w:p>
        </w:tc>
      </w:tr>
    </w:tbl>
    <w:p w:rsidR="005D3F32" w:rsidRDefault="005D3F32" w:rsidP="005D3F32">
      <w:pPr>
        <w:pStyle w:val="ListParagraph"/>
        <w:ind w:left="360"/>
        <w:jc w:val="both"/>
        <w:rPr>
          <w:rFonts w:ascii="Arial" w:hAnsi="Arial" w:cs="Arial"/>
          <w:u w:val="single"/>
        </w:rPr>
      </w:pPr>
    </w:p>
    <w:p w:rsidR="005D3F32" w:rsidRDefault="005D3F32" w:rsidP="005D3F32">
      <w:pPr>
        <w:pStyle w:val="ListParagraph"/>
        <w:ind w:left="360"/>
        <w:jc w:val="both"/>
        <w:rPr>
          <w:rFonts w:ascii="Arial" w:hAnsi="Arial" w:cs="Arial"/>
          <w:u w:val="single"/>
        </w:rPr>
      </w:pPr>
    </w:p>
    <w:tbl>
      <w:tblPr>
        <w:tblStyle w:val="TableGrid"/>
        <w:tblW w:w="0" w:type="auto"/>
        <w:tblInd w:w="108" w:type="dxa"/>
        <w:tblLook w:val="04A0" w:firstRow="1" w:lastRow="0" w:firstColumn="1" w:lastColumn="0" w:noHBand="0" w:noVBand="1"/>
      </w:tblPr>
      <w:tblGrid>
        <w:gridCol w:w="9134"/>
      </w:tblGrid>
      <w:tr w:rsidR="005D3F32" w:rsidTr="009C6BAD">
        <w:tc>
          <w:tcPr>
            <w:tcW w:w="9134" w:type="dxa"/>
            <w:shd w:val="clear" w:color="auto" w:fill="D9D9D9" w:themeFill="background1" w:themeFillShade="D9"/>
          </w:tcPr>
          <w:p w:rsidR="005D3F32" w:rsidRPr="00C16926" w:rsidRDefault="005D3F32" w:rsidP="005D3F32">
            <w:pPr>
              <w:pStyle w:val="ListParagraph"/>
              <w:ind w:left="360" w:hanging="326"/>
              <w:jc w:val="both"/>
              <w:rPr>
                <w:rFonts w:ascii="Arial" w:hAnsi="Arial" w:cs="Arial"/>
                <w:u w:val="single"/>
              </w:rPr>
            </w:pPr>
            <w:r w:rsidRPr="00C16926">
              <w:rPr>
                <w:rFonts w:ascii="Arial" w:hAnsi="Arial" w:cs="Arial"/>
                <w:u w:val="single"/>
              </w:rPr>
              <w:t xml:space="preserve">Sustainability Objectives </w:t>
            </w:r>
            <w:r w:rsidRPr="00AD5ED9">
              <w:rPr>
                <w:rFonts w:ascii="Arial" w:hAnsi="Arial" w:cs="Arial"/>
                <w:i/>
                <w:color w:val="0070C0"/>
                <w:u w:val="single"/>
              </w:rPr>
              <w:t>(Statement of Requirements)</w:t>
            </w:r>
          </w:p>
          <w:p w:rsidR="005D3F32" w:rsidRDefault="005D3F32" w:rsidP="005D3F32">
            <w:pPr>
              <w:pStyle w:val="ListParagraph"/>
              <w:ind w:left="360" w:hanging="326"/>
              <w:jc w:val="both"/>
              <w:rPr>
                <w:rFonts w:ascii="Arial" w:hAnsi="Arial" w:cs="Arial"/>
              </w:rPr>
            </w:pPr>
          </w:p>
        </w:tc>
      </w:tr>
      <w:tr w:rsidR="005D3F32" w:rsidTr="005D3F32">
        <w:tc>
          <w:tcPr>
            <w:tcW w:w="9134" w:type="dxa"/>
          </w:tcPr>
          <w:p w:rsidR="00F331ED" w:rsidRDefault="00F331ED" w:rsidP="00F331ED">
            <w:pPr>
              <w:pStyle w:val="NormalWeb"/>
              <w:rPr>
                <w:rFonts w:ascii="Arial" w:hAnsi="Arial" w:cs="Arial"/>
                <w:color w:val="auto"/>
                <w:sz w:val="22"/>
                <w:szCs w:val="22"/>
              </w:rPr>
            </w:pPr>
            <w:r w:rsidRPr="000C2050">
              <w:rPr>
                <w:rFonts w:ascii="Arial" w:hAnsi="Arial" w:cs="Arial"/>
                <w:color w:val="auto"/>
                <w:sz w:val="22"/>
                <w:szCs w:val="22"/>
              </w:rPr>
              <w:t xml:space="preserve">The University </w:t>
            </w:r>
            <w:r>
              <w:rPr>
                <w:rFonts w:ascii="Arial" w:hAnsi="Arial" w:cs="Arial"/>
                <w:color w:val="auto"/>
                <w:sz w:val="22"/>
                <w:szCs w:val="22"/>
              </w:rPr>
              <w:t>supports a number of initiatives related to sustainability in general including sustainable procurement which considers all aspects of the product life cycle, green travel plans including Cycle to Work Scheme. Energy efficient and sustainable buildings, carbon management and reduction and the development and maintenance of a sustainable, pleasant campus environment for our staff and students.</w:t>
            </w:r>
          </w:p>
          <w:p w:rsidR="00F331ED" w:rsidRDefault="00F331ED" w:rsidP="00F331ED">
            <w:pPr>
              <w:pStyle w:val="NormalWeb"/>
              <w:rPr>
                <w:rFonts w:ascii="Arial" w:hAnsi="Arial" w:cs="Arial"/>
                <w:color w:val="auto"/>
                <w:sz w:val="22"/>
                <w:szCs w:val="22"/>
              </w:rPr>
            </w:pPr>
            <w:r>
              <w:rPr>
                <w:rFonts w:ascii="Arial" w:hAnsi="Arial" w:cs="Arial"/>
                <w:color w:val="auto"/>
                <w:sz w:val="22"/>
                <w:szCs w:val="22"/>
              </w:rPr>
              <w:t>As a University, we recognise that we are uniquely placed to make a meaningful contribution to advancing the principles of sustainable development through, our primary role as educators, skills trainers and researchers, as owners/operators of large and complex estates, and as the focus of many local communities.</w:t>
            </w:r>
          </w:p>
          <w:p w:rsidR="00F331ED" w:rsidRDefault="00F331ED" w:rsidP="00F331ED">
            <w:pPr>
              <w:pStyle w:val="NormalWeb"/>
              <w:rPr>
                <w:rFonts w:ascii="Arial" w:hAnsi="Arial" w:cs="Arial"/>
                <w:color w:val="auto"/>
                <w:sz w:val="22"/>
                <w:szCs w:val="22"/>
              </w:rPr>
            </w:pPr>
            <w:r>
              <w:rPr>
                <w:rFonts w:ascii="Arial" w:hAnsi="Arial" w:cs="Arial"/>
                <w:color w:val="auto"/>
                <w:sz w:val="22"/>
                <w:szCs w:val="22"/>
              </w:rPr>
              <w:t>We encourage our Supply Chain to work with the University to support the Sustainability Strategy which sets out our commitment to embedding sustainability into every aspect of our operations.</w:t>
            </w:r>
          </w:p>
          <w:p w:rsidR="005D3F32" w:rsidRPr="00F331ED" w:rsidRDefault="00F331ED" w:rsidP="00F331ED">
            <w:pPr>
              <w:pStyle w:val="NormalWeb"/>
              <w:rPr>
                <w:rFonts w:ascii="Arial" w:hAnsi="Arial" w:cs="Arial"/>
                <w:color w:val="auto"/>
                <w:sz w:val="22"/>
                <w:szCs w:val="22"/>
              </w:rPr>
            </w:pPr>
            <w:hyperlink r:id="rId12" w:history="1">
              <w:r w:rsidRPr="00312B86">
                <w:rPr>
                  <w:rStyle w:val="Hyperlink"/>
                  <w:rFonts w:ascii="Arial" w:hAnsi="Arial" w:cs="Arial"/>
                  <w:sz w:val="22"/>
                  <w:szCs w:val="22"/>
                </w:rPr>
                <w:t>http://www.gcu.ac.uk/sustainability/index.html</w:t>
              </w:r>
            </w:hyperlink>
          </w:p>
        </w:tc>
      </w:tr>
    </w:tbl>
    <w:p w:rsidR="005D3F32" w:rsidRDefault="005D3F32" w:rsidP="005D3F32">
      <w:pPr>
        <w:pStyle w:val="ListParagraph"/>
        <w:ind w:left="360"/>
        <w:jc w:val="both"/>
        <w:rPr>
          <w:rFonts w:ascii="Arial" w:hAnsi="Arial" w:cs="Arial"/>
          <w:u w:val="single"/>
        </w:rPr>
      </w:pPr>
    </w:p>
    <w:p w:rsidR="005D3F32" w:rsidRDefault="005D3F32" w:rsidP="005D3F32">
      <w:pPr>
        <w:pStyle w:val="ListParagraph"/>
        <w:ind w:left="360"/>
        <w:jc w:val="both"/>
        <w:rPr>
          <w:rFonts w:ascii="Arial" w:hAnsi="Arial" w:cs="Arial"/>
          <w:u w:val="single"/>
        </w:rPr>
      </w:pPr>
    </w:p>
    <w:p w:rsidR="005D3F32" w:rsidRDefault="005D3F32" w:rsidP="005D3F32">
      <w:pPr>
        <w:pStyle w:val="ListParagraph"/>
        <w:ind w:left="360"/>
        <w:jc w:val="both"/>
        <w:rPr>
          <w:rFonts w:ascii="Arial" w:hAnsi="Arial" w:cs="Arial"/>
          <w:u w:val="single"/>
        </w:rPr>
      </w:pPr>
    </w:p>
    <w:tbl>
      <w:tblPr>
        <w:tblStyle w:val="TableGrid"/>
        <w:tblW w:w="0" w:type="auto"/>
        <w:tblInd w:w="108" w:type="dxa"/>
        <w:tblLook w:val="04A0" w:firstRow="1" w:lastRow="0" w:firstColumn="1" w:lastColumn="0" w:noHBand="0" w:noVBand="1"/>
      </w:tblPr>
      <w:tblGrid>
        <w:gridCol w:w="9134"/>
      </w:tblGrid>
      <w:tr w:rsidR="005D3F32" w:rsidTr="009C6BAD">
        <w:tc>
          <w:tcPr>
            <w:tcW w:w="9134" w:type="dxa"/>
            <w:shd w:val="clear" w:color="auto" w:fill="D9D9D9" w:themeFill="background1" w:themeFillShade="D9"/>
          </w:tcPr>
          <w:p w:rsidR="005D3F32" w:rsidRPr="00C16926" w:rsidRDefault="005D3F32" w:rsidP="005D3F32">
            <w:pPr>
              <w:pStyle w:val="ListParagraph"/>
              <w:ind w:left="360" w:hanging="326"/>
              <w:jc w:val="both"/>
              <w:rPr>
                <w:rFonts w:ascii="Arial" w:hAnsi="Arial" w:cs="Arial"/>
                <w:u w:val="single"/>
              </w:rPr>
            </w:pPr>
            <w:r w:rsidRPr="00C16926">
              <w:rPr>
                <w:rFonts w:ascii="Arial" w:hAnsi="Arial" w:cs="Arial"/>
                <w:u w:val="single"/>
              </w:rPr>
              <w:t xml:space="preserve">Delivery Timescales </w:t>
            </w:r>
            <w:r w:rsidRPr="00AD5ED9">
              <w:rPr>
                <w:rFonts w:ascii="Arial" w:hAnsi="Arial" w:cs="Arial"/>
                <w:i/>
                <w:color w:val="0070C0"/>
                <w:u w:val="single"/>
              </w:rPr>
              <w:t>(Statement of Requirements)</w:t>
            </w:r>
          </w:p>
          <w:p w:rsidR="005D3F32" w:rsidRDefault="005D3F32" w:rsidP="005D3F32">
            <w:pPr>
              <w:pStyle w:val="ListParagraph"/>
              <w:ind w:left="360" w:hanging="326"/>
              <w:jc w:val="both"/>
              <w:rPr>
                <w:rFonts w:ascii="Arial" w:hAnsi="Arial" w:cs="Arial"/>
              </w:rPr>
            </w:pPr>
          </w:p>
        </w:tc>
      </w:tr>
      <w:tr w:rsidR="005D3F32" w:rsidTr="005D3F32">
        <w:tc>
          <w:tcPr>
            <w:tcW w:w="9134" w:type="dxa"/>
          </w:tcPr>
          <w:p w:rsidR="005D3F32" w:rsidRPr="00F331ED" w:rsidRDefault="005D3F32" w:rsidP="00F331ED">
            <w:pPr>
              <w:rPr>
                <w:rFonts w:ascii="Arial" w:hAnsi="Arial" w:cs="Arial"/>
                <w:i/>
                <w:color w:val="548DD4" w:themeColor="text2" w:themeTint="99"/>
              </w:rPr>
            </w:pPr>
            <w:bookmarkStart w:id="0" w:name="_GoBack"/>
            <w:bookmarkEnd w:id="0"/>
          </w:p>
          <w:p w:rsidR="005D3F32" w:rsidRPr="005D3F32" w:rsidRDefault="005D3F32" w:rsidP="005D3F32">
            <w:pPr>
              <w:pStyle w:val="ListParagraph"/>
              <w:ind w:left="1080"/>
              <w:jc w:val="both"/>
              <w:rPr>
                <w:rFonts w:ascii="Arial" w:hAnsi="Arial" w:cs="Arial"/>
                <w:i/>
                <w:color w:val="548DD4" w:themeColor="text2" w:themeTint="99"/>
              </w:rPr>
            </w:pPr>
          </w:p>
        </w:tc>
      </w:tr>
    </w:tbl>
    <w:p w:rsidR="005D3F32" w:rsidRDefault="005D3F32" w:rsidP="005D3F32">
      <w:pPr>
        <w:pStyle w:val="ListParagraph"/>
        <w:ind w:left="360"/>
        <w:jc w:val="both"/>
        <w:rPr>
          <w:rFonts w:ascii="Arial" w:hAnsi="Arial" w:cs="Arial"/>
          <w:u w:val="single"/>
        </w:rPr>
      </w:pPr>
    </w:p>
    <w:tbl>
      <w:tblPr>
        <w:tblStyle w:val="TableGrid"/>
        <w:tblW w:w="0" w:type="auto"/>
        <w:tblInd w:w="108" w:type="dxa"/>
        <w:tblLook w:val="04A0" w:firstRow="1" w:lastRow="0" w:firstColumn="1" w:lastColumn="0" w:noHBand="0" w:noVBand="1"/>
      </w:tblPr>
      <w:tblGrid>
        <w:gridCol w:w="9134"/>
      </w:tblGrid>
      <w:tr w:rsidR="005D3F32" w:rsidTr="009C6BAD">
        <w:tc>
          <w:tcPr>
            <w:tcW w:w="9134" w:type="dxa"/>
            <w:shd w:val="clear" w:color="auto" w:fill="D9D9D9" w:themeFill="background1" w:themeFillShade="D9"/>
          </w:tcPr>
          <w:p w:rsidR="005D3F32" w:rsidRPr="00C16926" w:rsidRDefault="005D3F32" w:rsidP="005D3F32">
            <w:pPr>
              <w:pStyle w:val="ListParagraph"/>
              <w:ind w:left="360" w:hanging="326"/>
              <w:jc w:val="both"/>
              <w:rPr>
                <w:rFonts w:ascii="Arial" w:hAnsi="Arial" w:cs="Arial"/>
                <w:u w:val="single"/>
              </w:rPr>
            </w:pPr>
          </w:p>
          <w:p w:rsidR="005D3F32" w:rsidRPr="00C16926" w:rsidRDefault="005D3F32" w:rsidP="005D3F32">
            <w:pPr>
              <w:pStyle w:val="ListParagraph"/>
              <w:ind w:left="360" w:hanging="326"/>
              <w:jc w:val="both"/>
              <w:rPr>
                <w:rFonts w:ascii="Arial" w:hAnsi="Arial" w:cs="Arial"/>
                <w:u w:val="single"/>
              </w:rPr>
            </w:pPr>
            <w:r w:rsidRPr="00C16926">
              <w:rPr>
                <w:rFonts w:ascii="Arial" w:hAnsi="Arial" w:cs="Arial"/>
                <w:u w:val="single"/>
              </w:rPr>
              <w:t xml:space="preserve">Budget </w:t>
            </w:r>
            <w:r w:rsidRPr="00AD5ED9">
              <w:rPr>
                <w:rFonts w:ascii="Arial" w:hAnsi="Arial" w:cs="Arial"/>
                <w:i/>
                <w:color w:val="0070C0"/>
                <w:u w:val="single"/>
              </w:rPr>
              <w:t>(Statement of Requirements)</w:t>
            </w:r>
          </w:p>
          <w:p w:rsidR="005D3F32" w:rsidRDefault="005D3F32" w:rsidP="005D3F32">
            <w:pPr>
              <w:pStyle w:val="ListParagraph"/>
              <w:ind w:left="360" w:hanging="326"/>
              <w:jc w:val="both"/>
              <w:rPr>
                <w:rFonts w:ascii="Arial" w:hAnsi="Arial" w:cs="Arial"/>
              </w:rPr>
            </w:pPr>
          </w:p>
        </w:tc>
      </w:tr>
      <w:tr w:rsidR="005D3F32" w:rsidTr="005D3F32">
        <w:tc>
          <w:tcPr>
            <w:tcW w:w="9134" w:type="dxa"/>
          </w:tcPr>
          <w:p w:rsidR="005D3F32" w:rsidRPr="005D3F32" w:rsidRDefault="005D3F32" w:rsidP="005D3F32">
            <w:pPr>
              <w:pStyle w:val="ListParagraph"/>
              <w:ind w:hanging="686"/>
              <w:rPr>
                <w:rFonts w:ascii="Arial" w:hAnsi="Arial" w:cs="Arial"/>
                <w:i/>
                <w:color w:val="548DD4" w:themeColor="text2" w:themeTint="99"/>
              </w:rPr>
            </w:pPr>
          </w:p>
          <w:p w:rsidR="005D3F32" w:rsidRPr="005D3F32" w:rsidRDefault="005D3F32" w:rsidP="005D3F32">
            <w:pPr>
              <w:pStyle w:val="ListParagraph"/>
              <w:ind w:left="1080"/>
              <w:jc w:val="both"/>
              <w:rPr>
                <w:rFonts w:ascii="Arial" w:hAnsi="Arial" w:cs="Arial"/>
                <w:i/>
                <w:color w:val="548DD4" w:themeColor="text2" w:themeTint="99"/>
              </w:rPr>
            </w:pPr>
          </w:p>
        </w:tc>
      </w:tr>
    </w:tbl>
    <w:p w:rsidR="005D3F32" w:rsidRDefault="005D3F32" w:rsidP="005D3F32">
      <w:pPr>
        <w:pStyle w:val="ListParagraph"/>
        <w:ind w:left="360"/>
        <w:jc w:val="both"/>
        <w:rPr>
          <w:rFonts w:ascii="Arial" w:hAnsi="Arial" w:cs="Arial"/>
          <w:u w:val="single"/>
        </w:rPr>
      </w:pPr>
    </w:p>
    <w:tbl>
      <w:tblPr>
        <w:tblStyle w:val="TableGrid"/>
        <w:tblW w:w="0" w:type="auto"/>
        <w:tblInd w:w="108" w:type="dxa"/>
        <w:tblLook w:val="04A0" w:firstRow="1" w:lastRow="0" w:firstColumn="1" w:lastColumn="0" w:noHBand="0" w:noVBand="1"/>
      </w:tblPr>
      <w:tblGrid>
        <w:gridCol w:w="9134"/>
      </w:tblGrid>
      <w:tr w:rsidR="005D3F32" w:rsidTr="009C6BAD">
        <w:tc>
          <w:tcPr>
            <w:tcW w:w="9134" w:type="dxa"/>
            <w:shd w:val="clear" w:color="auto" w:fill="D9D9D9" w:themeFill="background1" w:themeFillShade="D9"/>
          </w:tcPr>
          <w:p w:rsidR="005D3F32" w:rsidRPr="00C16926" w:rsidRDefault="005D3F32" w:rsidP="005D3F32">
            <w:pPr>
              <w:pStyle w:val="ListParagraph"/>
              <w:ind w:left="360" w:hanging="326"/>
              <w:jc w:val="both"/>
              <w:rPr>
                <w:rFonts w:ascii="Arial" w:hAnsi="Arial" w:cs="Arial"/>
                <w:u w:val="single"/>
              </w:rPr>
            </w:pPr>
          </w:p>
          <w:p w:rsidR="005D3F32" w:rsidRPr="00C16926" w:rsidRDefault="005D3F32" w:rsidP="00E37FF8">
            <w:pPr>
              <w:pStyle w:val="ListParagraph"/>
              <w:ind w:left="360" w:hanging="326"/>
              <w:jc w:val="both"/>
              <w:rPr>
                <w:rFonts w:ascii="Arial" w:hAnsi="Arial" w:cs="Arial"/>
                <w:u w:val="single"/>
              </w:rPr>
            </w:pPr>
            <w:r w:rsidRPr="00C16926">
              <w:rPr>
                <w:rFonts w:ascii="Arial" w:hAnsi="Arial" w:cs="Arial"/>
                <w:u w:val="single"/>
              </w:rPr>
              <w:t xml:space="preserve">Period of Contract </w:t>
            </w:r>
            <w:r w:rsidRPr="00AD5ED9">
              <w:rPr>
                <w:rFonts w:ascii="Arial" w:hAnsi="Arial" w:cs="Arial"/>
                <w:i/>
                <w:color w:val="0070C0"/>
                <w:u w:val="single"/>
              </w:rPr>
              <w:t>(Statement of Requirements)</w:t>
            </w:r>
          </w:p>
          <w:p w:rsidR="005D3F32" w:rsidRDefault="005D3F32" w:rsidP="005D3F32">
            <w:pPr>
              <w:pStyle w:val="ListParagraph"/>
              <w:ind w:left="360" w:hanging="326"/>
              <w:jc w:val="both"/>
              <w:rPr>
                <w:rFonts w:ascii="Arial" w:hAnsi="Arial" w:cs="Arial"/>
              </w:rPr>
            </w:pPr>
          </w:p>
        </w:tc>
      </w:tr>
      <w:tr w:rsidR="005D3F32" w:rsidTr="005D3F32">
        <w:tc>
          <w:tcPr>
            <w:tcW w:w="9134" w:type="dxa"/>
          </w:tcPr>
          <w:p w:rsidR="005D3F32" w:rsidRPr="005D3F32" w:rsidRDefault="005D3F32" w:rsidP="00F331ED">
            <w:pPr>
              <w:pStyle w:val="ListParagraph"/>
              <w:ind w:hanging="686"/>
              <w:jc w:val="both"/>
              <w:rPr>
                <w:rFonts w:ascii="Arial" w:hAnsi="Arial" w:cs="Arial"/>
                <w:i/>
                <w:color w:val="548DD4" w:themeColor="text2" w:themeTint="99"/>
              </w:rPr>
            </w:pPr>
          </w:p>
        </w:tc>
      </w:tr>
    </w:tbl>
    <w:p w:rsidR="005D3F32" w:rsidRDefault="005D3F32" w:rsidP="005D3F32">
      <w:pPr>
        <w:pStyle w:val="ListParagraph"/>
        <w:ind w:left="360"/>
        <w:jc w:val="both"/>
        <w:rPr>
          <w:rFonts w:ascii="Arial" w:hAnsi="Arial" w:cs="Arial"/>
          <w:u w:val="single"/>
        </w:rPr>
      </w:pPr>
    </w:p>
    <w:tbl>
      <w:tblPr>
        <w:tblStyle w:val="TableGrid"/>
        <w:tblW w:w="0" w:type="auto"/>
        <w:tblInd w:w="108" w:type="dxa"/>
        <w:tblLook w:val="04A0" w:firstRow="1" w:lastRow="0" w:firstColumn="1" w:lastColumn="0" w:noHBand="0" w:noVBand="1"/>
      </w:tblPr>
      <w:tblGrid>
        <w:gridCol w:w="9134"/>
      </w:tblGrid>
      <w:tr w:rsidR="00E37FF8" w:rsidTr="009C6BAD">
        <w:tc>
          <w:tcPr>
            <w:tcW w:w="9134" w:type="dxa"/>
            <w:shd w:val="clear" w:color="auto" w:fill="D9D9D9" w:themeFill="background1" w:themeFillShade="D9"/>
          </w:tcPr>
          <w:p w:rsidR="00E37FF8" w:rsidRPr="00C16926" w:rsidRDefault="00E37FF8" w:rsidP="00E37FF8">
            <w:pPr>
              <w:pStyle w:val="ListParagraph"/>
              <w:ind w:left="360" w:hanging="326"/>
              <w:jc w:val="both"/>
              <w:rPr>
                <w:rFonts w:ascii="Arial" w:hAnsi="Arial" w:cs="Arial"/>
                <w:u w:val="single"/>
              </w:rPr>
            </w:pPr>
          </w:p>
          <w:p w:rsidR="00E37FF8" w:rsidRPr="00C16926" w:rsidRDefault="00E37FF8" w:rsidP="00E37FF8">
            <w:pPr>
              <w:pStyle w:val="ListParagraph"/>
              <w:ind w:left="360" w:hanging="326"/>
              <w:jc w:val="both"/>
              <w:rPr>
                <w:rFonts w:ascii="Arial" w:hAnsi="Arial" w:cs="Arial"/>
                <w:u w:val="single"/>
              </w:rPr>
            </w:pPr>
            <w:r w:rsidRPr="00C16926">
              <w:rPr>
                <w:rFonts w:ascii="Arial" w:hAnsi="Arial" w:cs="Arial"/>
                <w:u w:val="single"/>
              </w:rPr>
              <w:t xml:space="preserve">Management Information/Reporting Requirements </w:t>
            </w:r>
            <w:r w:rsidRPr="00AD5ED9">
              <w:rPr>
                <w:rFonts w:ascii="Arial" w:hAnsi="Arial" w:cs="Arial"/>
                <w:i/>
                <w:color w:val="0070C0"/>
                <w:u w:val="single"/>
              </w:rPr>
              <w:t>(Performance Monitoring)</w:t>
            </w:r>
          </w:p>
          <w:p w:rsidR="00E37FF8" w:rsidRDefault="00E37FF8" w:rsidP="00E37FF8">
            <w:pPr>
              <w:pStyle w:val="ListParagraph"/>
              <w:ind w:left="360" w:hanging="326"/>
              <w:jc w:val="both"/>
              <w:rPr>
                <w:rFonts w:ascii="Arial" w:hAnsi="Arial" w:cs="Arial"/>
              </w:rPr>
            </w:pPr>
          </w:p>
        </w:tc>
      </w:tr>
      <w:tr w:rsidR="00E37FF8" w:rsidTr="00E37FF8">
        <w:tc>
          <w:tcPr>
            <w:tcW w:w="9134" w:type="dxa"/>
          </w:tcPr>
          <w:p w:rsidR="00E37FF8" w:rsidRPr="005D3F32" w:rsidRDefault="00E37FF8" w:rsidP="00E37FF8">
            <w:pPr>
              <w:pStyle w:val="ListParagraph"/>
              <w:ind w:hanging="686"/>
              <w:rPr>
                <w:rFonts w:ascii="Arial" w:hAnsi="Arial" w:cs="Arial"/>
                <w:i/>
                <w:color w:val="548DD4" w:themeColor="text2" w:themeTint="99"/>
              </w:rPr>
            </w:pPr>
          </w:p>
          <w:p w:rsidR="00E37FF8" w:rsidRPr="005D3F32" w:rsidRDefault="00E37FF8" w:rsidP="00E37FF8">
            <w:pPr>
              <w:pStyle w:val="ListParagraph"/>
              <w:ind w:left="1080"/>
              <w:jc w:val="both"/>
              <w:rPr>
                <w:rFonts w:ascii="Arial" w:hAnsi="Arial" w:cs="Arial"/>
                <w:i/>
                <w:color w:val="548DD4" w:themeColor="text2" w:themeTint="99"/>
              </w:rPr>
            </w:pPr>
          </w:p>
        </w:tc>
      </w:tr>
    </w:tbl>
    <w:p w:rsidR="0054717F" w:rsidRDefault="0054717F" w:rsidP="0054717F">
      <w:pPr>
        <w:jc w:val="both"/>
        <w:rPr>
          <w:rFonts w:ascii="Arial" w:hAnsi="Arial" w:cs="Arial"/>
          <w:color w:val="FF0000"/>
        </w:rPr>
      </w:pPr>
    </w:p>
    <w:tbl>
      <w:tblPr>
        <w:tblStyle w:val="TableGrid"/>
        <w:tblW w:w="0" w:type="auto"/>
        <w:tblInd w:w="108" w:type="dxa"/>
        <w:tblLook w:val="04A0" w:firstRow="1" w:lastRow="0" w:firstColumn="1" w:lastColumn="0" w:noHBand="0" w:noVBand="1"/>
      </w:tblPr>
      <w:tblGrid>
        <w:gridCol w:w="9134"/>
      </w:tblGrid>
      <w:tr w:rsidR="00E37FF8" w:rsidTr="009C6BAD">
        <w:tc>
          <w:tcPr>
            <w:tcW w:w="9134" w:type="dxa"/>
            <w:shd w:val="clear" w:color="auto" w:fill="D9D9D9" w:themeFill="background1" w:themeFillShade="D9"/>
          </w:tcPr>
          <w:p w:rsidR="00E37FF8" w:rsidRPr="00C16926" w:rsidRDefault="00E37FF8" w:rsidP="00E37FF8">
            <w:pPr>
              <w:pStyle w:val="ListParagraph"/>
              <w:ind w:left="360" w:hanging="326"/>
              <w:jc w:val="both"/>
              <w:rPr>
                <w:rFonts w:ascii="Arial" w:hAnsi="Arial" w:cs="Arial"/>
                <w:u w:val="single"/>
              </w:rPr>
            </w:pPr>
          </w:p>
          <w:p w:rsidR="00E37FF8" w:rsidRPr="0016302B" w:rsidRDefault="00E37FF8" w:rsidP="00E37FF8">
            <w:pPr>
              <w:pStyle w:val="ListParagraph"/>
              <w:ind w:left="360" w:hanging="326"/>
              <w:jc w:val="both"/>
              <w:rPr>
                <w:rFonts w:ascii="Arial" w:hAnsi="Arial" w:cs="Arial"/>
                <w:u w:val="single"/>
              </w:rPr>
            </w:pPr>
            <w:r w:rsidRPr="0016302B">
              <w:rPr>
                <w:rFonts w:ascii="Arial" w:hAnsi="Arial" w:cs="Arial"/>
                <w:u w:val="single"/>
              </w:rPr>
              <w:t xml:space="preserve">Key Performance Indicators </w:t>
            </w:r>
            <w:r w:rsidRPr="00AD5ED9">
              <w:rPr>
                <w:rFonts w:ascii="Arial" w:hAnsi="Arial" w:cs="Arial"/>
                <w:i/>
                <w:color w:val="0070C0"/>
                <w:u w:val="single"/>
              </w:rPr>
              <w:t>(Performance Monitoring)</w:t>
            </w:r>
          </w:p>
          <w:p w:rsidR="00E37FF8" w:rsidRDefault="00E37FF8" w:rsidP="00E37FF8">
            <w:pPr>
              <w:pStyle w:val="ListParagraph"/>
              <w:ind w:left="360" w:hanging="326"/>
              <w:jc w:val="both"/>
              <w:rPr>
                <w:rFonts w:ascii="Arial" w:hAnsi="Arial" w:cs="Arial"/>
              </w:rPr>
            </w:pPr>
          </w:p>
        </w:tc>
      </w:tr>
      <w:tr w:rsidR="00E37FF8" w:rsidTr="00E37FF8">
        <w:tc>
          <w:tcPr>
            <w:tcW w:w="9134" w:type="dxa"/>
          </w:tcPr>
          <w:p w:rsidR="00E37FF8" w:rsidRPr="00C16926" w:rsidRDefault="00E37FF8" w:rsidP="00E37FF8">
            <w:pPr>
              <w:pStyle w:val="ListParagraph"/>
              <w:jc w:val="both"/>
              <w:rPr>
                <w:rFonts w:ascii="Arial" w:hAnsi="Arial" w:cs="Arial"/>
                <w:u w:val="single"/>
              </w:rPr>
            </w:pPr>
          </w:p>
          <w:p w:rsidR="00E37FF8" w:rsidRPr="00E37FF8" w:rsidRDefault="00E37FF8" w:rsidP="00E37FF8">
            <w:pPr>
              <w:pStyle w:val="ListParagraph"/>
              <w:ind w:left="34"/>
              <w:jc w:val="both"/>
              <w:rPr>
                <w:rFonts w:ascii="Arial" w:hAnsi="Arial" w:cs="Arial"/>
                <w:i/>
                <w:color w:val="548DD4" w:themeColor="text2" w:themeTint="99"/>
                <w:u w:val="single"/>
              </w:rPr>
            </w:pPr>
            <w:r w:rsidRPr="00E37FF8">
              <w:rPr>
                <w:rFonts w:ascii="Arial" w:hAnsi="Arial" w:cs="Arial"/>
                <w:i/>
                <w:color w:val="548DD4" w:themeColor="text2" w:themeTint="99"/>
              </w:rPr>
              <w:t xml:space="preserve">In order to validate and monitor the performance of your Supplier, you may wish to include Key Performance Indicators. An example of which is contained in the Contract Management Slides. </w:t>
            </w:r>
          </w:p>
          <w:p w:rsidR="00E37FF8" w:rsidRPr="00E37FF8" w:rsidRDefault="00E37FF8" w:rsidP="00E37FF8">
            <w:pPr>
              <w:pStyle w:val="ListParagraph"/>
              <w:ind w:left="34"/>
              <w:jc w:val="both"/>
              <w:rPr>
                <w:rFonts w:ascii="Arial" w:hAnsi="Arial" w:cs="Arial"/>
                <w:i/>
                <w:color w:val="548DD4" w:themeColor="text2" w:themeTint="99"/>
              </w:rPr>
            </w:pPr>
            <w:r w:rsidRPr="00E37FF8">
              <w:rPr>
                <w:rFonts w:ascii="Arial" w:hAnsi="Arial" w:cs="Arial"/>
                <w:i/>
                <w:color w:val="548DD4" w:themeColor="text2" w:themeTint="99"/>
              </w:rPr>
              <w:t>They should be SMART in terms of:-</w:t>
            </w:r>
          </w:p>
          <w:p w:rsidR="00E37FF8" w:rsidRPr="00E37FF8" w:rsidRDefault="00E37FF8" w:rsidP="00E37FF8">
            <w:pPr>
              <w:pStyle w:val="ListParagraph"/>
              <w:numPr>
                <w:ilvl w:val="0"/>
                <w:numId w:val="6"/>
              </w:numPr>
              <w:jc w:val="both"/>
              <w:rPr>
                <w:rFonts w:ascii="Arial" w:hAnsi="Arial" w:cs="Arial"/>
                <w:i/>
                <w:color w:val="548DD4" w:themeColor="text2" w:themeTint="99"/>
              </w:rPr>
            </w:pPr>
            <w:r w:rsidRPr="00E37FF8">
              <w:rPr>
                <w:rFonts w:ascii="Arial" w:hAnsi="Arial" w:cs="Arial"/>
                <w:i/>
                <w:color w:val="548DD4" w:themeColor="text2" w:themeTint="99"/>
              </w:rPr>
              <w:t>Specific</w:t>
            </w:r>
          </w:p>
          <w:p w:rsidR="00E37FF8" w:rsidRPr="00E37FF8" w:rsidRDefault="00E37FF8" w:rsidP="00E37FF8">
            <w:pPr>
              <w:pStyle w:val="ListParagraph"/>
              <w:numPr>
                <w:ilvl w:val="0"/>
                <w:numId w:val="6"/>
              </w:numPr>
              <w:jc w:val="both"/>
              <w:rPr>
                <w:rFonts w:ascii="Arial" w:hAnsi="Arial" w:cs="Arial"/>
                <w:i/>
                <w:color w:val="548DD4" w:themeColor="text2" w:themeTint="99"/>
              </w:rPr>
            </w:pPr>
            <w:r w:rsidRPr="00E37FF8">
              <w:rPr>
                <w:rFonts w:ascii="Arial" w:hAnsi="Arial" w:cs="Arial"/>
                <w:i/>
                <w:color w:val="548DD4" w:themeColor="text2" w:themeTint="99"/>
              </w:rPr>
              <w:t>Measureable</w:t>
            </w:r>
          </w:p>
          <w:p w:rsidR="00E37FF8" w:rsidRPr="00E37FF8" w:rsidRDefault="00E37FF8" w:rsidP="00E37FF8">
            <w:pPr>
              <w:pStyle w:val="ListParagraph"/>
              <w:numPr>
                <w:ilvl w:val="0"/>
                <w:numId w:val="6"/>
              </w:numPr>
              <w:jc w:val="both"/>
              <w:rPr>
                <w:rFonts w:ascii="Arial" w:hAnsi="Arial" w:cs="Arial"/>
                <w:i/>
                <w:color w:val="548DD4" w:themeColor="text2" w:themeTint="99"/>
              </w:rPr>
            </w:pPr>
            <w:r w:rsidRPr="00E37FF8">
              <w:rPr>
                <w:rFonts w:ascii="Arial" w:hAnsi="Arial" w:cs="Arial"/>
                <w:i/>
                <w:color w:val="548DD4" w:themeColor="text2" w:themeTint="99"/>
              </w:rPr>
              <w:t>Achievable</w:t>
            </w:r>
          </w:p>
          <w:p w:rsidR="00E37FF8" w:rsidRPr="00E37FF8" w:rsidRDefault="00E37FF8" w:rsidP="00E37FF8">
            <w:pPr>
              <w:pStyle w:val="ListParagraph"/>
              <w:numPr>
                <w:ilvl w:val="0"/>
                <w:numId w:val="6"/>
              </w:numPr>
              <w:jc w:val="both"/>
              <w:rPr>
                <w:rFonts w:ascii="Arial" w:hAnsi="Arial" w:cs="Arial"/>
                <w:i/>
                <w:color w:val="548DD4" w:themeColor="text2" w:themeTint="99"/>
              </w:rPr>
            </w:pPr>
            <w:r w:rsidRPr="00E37FF8">
              <w:rPr>
                <w:rFonts w:ascii="Arial" w:hAnsi="Arial" w:cs="Arial"/>
                <w:i/>
                <w:color w:val="548DD4" w:themeColor="text2" w:themeTint="99"/>
              </w:rPr>
              <w:t>Realistic</w:t>
            </w:r>
          </w:p>
          <w:p w:rsidR="00E37FF8" w:rsidRPr="00E37FF8" w:rsidRDefault="00E37FF8" w:rsidP="00E37FF8">
            <w:pPr>
              <w:pStyle w:val="ListParagraph"/>
              <w:numPr>
                <w:ilvl w:val="0"/>
                <w:numId w:val="6"/>
              </w:numPr>
              <w:jc w:val="both"/>
              <w:rPr>
                <w:rFonts w:ascii="Arial" w:hAnsi="Arial" w:cs="Arial"/>
                <w:color w:val="FF0000"/>
              </w:rPr>
            </w:pPr>
            <w:r w:rsidRPr="00E37FF8">
              <w:rPr>
                <w:rFonts w:ascii="Arial" w:hAnsi="Arial" w:cs="Arial"/>
                <w:i/>
                <w:color w:val="548DD4" w:themeColor="text2" w:themeTint="99"/>
              </w:rPr>
              <w:t>Time</w:t>
            </w:r>
          </w:p>
        </w:tc>
      </w:tr>
    </w:tbl>
    <w:p w:rsidR="0054717F" w:rsidRDefault="0054717F" w:rsidP="0054717F">
      <w:pPr>
        <w:jc w:val="both"/>
        <w:rPr>
          <w:rFonts w:ascii="Arial" w:hAnsi="Arial" w:cs="Arial"/>
          <w:color w:val="FF0000"/>
        </w:rPr>
      </w:pPr>
    </w:p>
    <w:tbl>
      <w:tblPr>
        <w:tblStyle w:val="TableGrid"/>
        <w:tblW w:w="0" w:type="auto"/>
        <w:tblInd w:w="108" w:type="dxa"/>
        <w:tblLook w:val="04A0" w:firstRow="1" w:lastRow="0" w:firstColumn="1" w:lastColumn="0" w:noHBand="0" w:noVBand="1"/>
      </w:tblPr>
      <w:tblGrid>
        <w:gridCol w:w="9134"/>
      </w:tblGrid>
      <w:tr w:rsidR="00E37FF8" w:rsidTr="009C6BAD">
        <w:tc>
          <w:tcPr>
            <w:tcW w:w="9134" w:type="dxa"/>
            <w:shd w:val="clear" w:color="auto" w:fill="D9D9D9" w:themeFill="background1" w:themeFillShade="D9"/>
          </w:tcPr>
          <w:p w:rsidR="00E37FF8" w:rsidRPr="00C16926" w:rsidRDefault="00E37FF8" w:rsidP="00E37FF8">
            <w:pPr>
              <w:pStyle w:val="ListParagraph"/>
              <w:ind w:left="360" w:hanging="326"/>
              <w:jc w:val="both"/>
              <w:rPr>
                <w:rFonts w:ascii="Arial" w:hAnsi="Arial" w:cs="Arial"/>
                <w:u w:val="single"/>
              </w:rPr>
            </w:pPr>
          </w:p>
          <w:p w:rsidR="00E37FF8" w:rsidRPr="004E60BD" w:rsidRDefault="00E37FF8" w:rsidP="00E37FF8">
            <w:pPr>
              <w:pStyle w:val="ListParagraph"/>
              <w:ind w:left="360" w:hanging="326"/>
              <w:jc w:val="both"/>
              <w:rPr>
                <w:rFonts w:ascii="Arial" w:hAnsi="Arial" w:cs="Arial"/>
                <w:u w:val="single"/>
              </w:rPr>
            </w:pPr>
            <w:r w:rsidRPr="004E60BD">
              <w:rPr>
                <w:rFonts w:ascii="Arial" w:hAnsi="Arial" w:cs="Arial"/>
                <w:u w:val="single"/>
              </w:rPr>
              <w:t xml:space="preserve">Payment/Invoicing Procedures </w:t>
            </w:r>
            <w:r w:rsidRPr="00AD5ED9">
              <w:rPr>
                <w:rFonts w:ascii="Arial" w:hAnsi="Arial" w:cs="Arial"/>
                <w:i/>
                <w:color w:val="0070C0"/>
                <w:u w:val="single"/>
              </w:rPr>
              <w:t>(Statement of Requirements)</w:t>
            </w:r>
          </w:p>
          <w:p w:rsidR="00E37FF8" w:rsidRDefault="00E37FF8" w:rsidP="00E37FF8">
            <w:pPr>
              <w:pStyle w:val="ListParagraph"/>
              <w:ind w:left="360" w:hanging="326"/>
              <w:jc w:val="both"/>
              <w:rPr>
                <w:rFonts w:ascii="Arial" w:hAnsi="Arial" w:cs="Arial"/>
              </w:rPr>
            </w:pPr>
          </w:p>
        </w:tc>
      </w:tr>
      <w:tr w:rsidR="00E37FF8" w:rsidTr="00E37FF8">
        <w:tc>
          <w:tcPr>
            <w:tcW w:w="9134" w:type="dxa"/>
          </w:tcPr>
          <w:p w:rsidR="00E37FF8" w:rsidRPr="00C16926" w:rsidRDefault="00E37FF8" w:rsidP="00E37FF8">
            <w:pPr>
              <w:pStyle w:val="ListParagraph"/>
              <w:jc w:val="both"/>
              <w:rPr>
                <w:rFonts w:ascii="Arial" w:hAnsi="Arial" w:cs="Arial"/>
                <w:u w:val="single"/>
              </w:rPr>
            </w:pPr>
          </w:p>
          <w:p w:rsidR="00E37FF8" w:rsidRPr="00E37FF8" w:rsidRDefault="00E37FF8" w:rsidP="00E37FF8">
            <w:pPr>
              <w:pStyle w:val="ListParagraph"/>
              <w:ind w:left="34"/>
              <w:jc w:val="both"/>
              <w:rPr>
                <w:rFonts w:ascii="Arial" w:hAnsi="Arial" w:cs="Arial"/>
                <w:i/>
                <w:color w:val="548DD4" w:themeColor="text2" w:themeTint="99"/>
                <w:u w:val="single"/>
              </w:rPr>
            </w:pPr>
            <w:r w:rsidRPr="00E37FF8">
              <w:rPr>
                <w:rFonts w:ascii="Arial" w:hAnsi="Arial" w:cs="Arial"/>
                <w:i/>
                <w:color w:val="548DD4" w:themeColor="text2" w:themeTint="99"/>
              </w:rPr>
              <w:t>The University’s standard invoicing terms is 30 days, additionally you may have a requirement to implement staged payments which you can include in this section. Also any specific invoicing instructions.</w:t>
            </w:r>
          </w:p>
          <w:p w:rsidR="00E37FF8" w:rsidRPr="005D3F32" w:rsidRDefault="00E37FF8" w:rsidP="00E37FF8">
            <w:pPr>
              <w:pStyle w:val="ListParagraph"/>
              <w:ind w:hanging="686"/>
              <w:rPr>
                <w:rFonts w:ascii="Arial" w:hAnsi="Arial" w:cs="Arial"/>
                <w:i/>
                <w:color w:val="548DD4" w:themeColor="text2" w:themeTint="99"/>
              </w:rPr>
            </w:pPr>
          </w:p>
          <w:p w:rsidR="00E37FF8" w:rsidRPr="005D3F32" w:rsidRDefault="00E37FF8" w:rsidP="00E37FF8">
            <w:pPr>
              <w:pStyle w:val="ListParagraph"/>
              <w:ind w:left="1080"/>
              <w:jc w:val="both"/>
              <w:rPr>
                <w:rFonts w:ascii="Arial" w:hAnsi="Arial" w:cs="Arial"/>
                <w:i/>
                <w:color w:val="548DD4" w:themeColor="text2" w:themeTint="99"/>
              </w:rPr>
            </w:pPr>
          </w:p>
        </w:tc>
      </w:tr>
    </w:tbl>
    <w:p w:rsidR="00E37FF8" w:rsidRDefault="00E37FF8" w:rsidP="0054717F">
      <w:pPr>
        <w:jc w:val="both"/>
        <w:rPr>
          <w:rFonts w:ascii="Arial" w:hAnsi="Arial" w:cs="Arial"/>
          <w:color w:val="FF0000"/>
        </w:rPr>
      </w:pPr>
    </w:p>
    <w:tbl>
      <w:tblPr>
        <w:tblStyle w:val="TableGrid"/>
        <w:tblW w:w="0" w:type="auto"/>
        <w:tblInd w:w="108" w:type="dxa"/>
        <w:tblLook w:val="04A0" w:firstRow="1" w:lastRow="0" w:firstColumn="1" w:lastColumn="0" w:noHBand="0" w:noVBand="1"/>
      </w:tblPr>
      <w:tblGrid>
        <w:gridCol w:w="9134"/>
      </w:tblGrid>
      <w:tr w:rsidR="00E37FF8" w:rsidTr="009C6BAD">
        <w:tc>
          <w:tcPr>
            <w:tcW w:w="9134" w:type="dxa"/>
            <w:shd w:val="clear" w:color="auto" w:fill="D9D9D9" w:themeFill="background1" w:themeFillShade="D9"/>
          </w:tcPr>
          <w:p w:rsidR="00E37FF8" w:rsidRPr="00C16926" w:rsidRDefault="00E37FF8" w:rsidP="00E37FF8">
            <w:pPr>
              <w:pStyle w:val="ListParagraph"/>
              <w:ind w:left="360" w:hanging="326"/>
              <w:jc w:val="both"/>
              <w:rPr>
                <w:rFonts w:ascii="Arial" w:hAnsi="Arial" w:cs="Arial"/>
                <w:u w:val="single"/>
              </w:rPr>
            </w:pPr>
          </w:p>
          <w:p w:rsidR="00E37FF8" w:rsidRPr="004E60BD" w:rsidRDefault="00E37FF8" w:rsidP="00E37FF8">
            <w:pPr>
              <w:pStyle w:val="ListParagraph"/>
              <w:ind w:left="360" w:hanging="326"/>
              <w:jc w:val="both"/>
              <w:rPr>
                <w:rFonts w:ascii="Arial" w:hAnsi="Arial" w:cs="Arial"/>
                <w:u w:val="single"/>
              </w:rPr>
            </w:pPr>
            <w:r w:rsidRPr="004E60BD">
              <w:rPr>
                <w:rFonts w:ascii="Arial" w:hAnsi="Arial" w:cs="Arial"/>
                <w:u w:val="single"/>
              </w:rPr>
              <w:t xml:space="preserve">Evaluation Criteria/Weightings </w:t>
            </w:r>
            <w:r w:rsidRPr="00AD5ED9">
              <w:rPr>
                <w:rFonts w:ascii="Arial" w:hAnsi="Arial" w:cs="Arial"/>
                <w:i/>
                <w:color w:val="0070C0"/>
                <w:u w:val="single"/>
              </w:rPr>
              <w:t>(Results &amp; Outcomes)</w:t>
            </w:r>
          </w:p>
          <w:p w:rsidR="00E37FF8" w:rsidRDefault="00E37FF8" w:rsidP="00E37FF8">
            <w:pPr>
              <w:pStyle w:val="ListParagraph"/>
              <w:ind w:left="360" w:hanging="326"/>
              <w:jc w:val="both"/>
              <w:rPr>
                <w:rFonts w:ascii="Arial" w:hAnsi="Arial" w:cs="Arial"/>
              </w:rPr>
            </w:pPr>
          </w:p>
        </w:tc>
      </w:tr>
      <w:tr w:rsidR="00E37FF8" w:rsidTr="00E37FF8">
        <w:tc>
          <w:tcPr>
            <w:tcW w:w="9134" w:type="dxa"/>
          </w:tcPr>
          <w:p w:rsidR="00E37FF8" w:rsidRPr="00C16926" w:rsidRDefault="00E37FF8" w:rsidP="00E37FF8">
            <w:pPr>
              <w:pStyle w:val="ListParagraph"/>
              <w:jc w:val="both"/>
              <w:rPr>
                <w:rFonts w:ascii="Arial" w:hAnsi="Arial" w:cs="Arial"/>
                <w:u w:val="single"/>
              </w:rPr>
            </w:pPr>
          </w:p>
          <w:p w:rsidR="00E37FF8" w:rsidRPr="00E37FF8" w:rsidRDefault="00E37FF8" w:rsidP="00E37FF8">
            <w:pPr>
              <w:pStyle w:val="ListParagraph"/>
              <w:ind w:left="34"/>
              <w:jc w:val="both"/>
              <w:rPr>
                <w:rFonts w:ascii="Arial" w:hAnsi="Arial" w:cs="Arial"/>
                <w:i/>
                <w:color w:val="548DD4" w:themeColor="text2" w:themeTint="99"/>
              </w:rPr>
            </w:pPr>
            <w:r w:rsidRPr="00E37FF8">
              <w:rPr>
                <w:rFonts w:ascii="Arial" w:hAnsi="Arial" w:cs="Arial"/>
                <w:i/>
                <w:color w:val="548DD4" w:themeColor="text2" w:themeTint="99"/>
              </w:rPr>
              <w:t>This section is particularly important to ensure you ask the right questions and apply appropriate percentage weightings to achieve the most qualified/suitable Supplier at a competitive price.</w:t>
            </w:r>
          </w:p>
          <w:p w:rsidR="00E37FF8" w:rsidRDefault="00E37FF8" w:rsidP="00E37FF8">
            <w:pPr>
              <w:pStyle w:val="ListParagraph"/>
              <w:ind w:left="34"/>
              <w:jc w:val="both"/>
              <w:rPr>
                <w:rFonts w:ascii="Arial" w:hAnsi="Arial" w:cs="Arial"/>
                <w:i/>
                <w:color w:val="548DD4" w:themeColor="text2" w:themeTint="99"/>
              </w:rPr>
            </w:pPr>
          </w:p>
          <w:p w:rsidR="00E37FF8" w:rsidRPr="00E37FF8" w:rsidRDefault="00E37FF8" w:rsidP="00E37FF8">
            <w:pPr>
              <w:pStyle w:val="ListParagraph"/>
              <w:ind w:left="34"/>
              <w:jc w:val="both"/>
              <w:rPr>
                <w:rFonts w:ascii="Arial" w:hAnsi="Arial" w:cs="Arial"/>
                <w:i/>
                <w:color w:val="548DD4" w:themeColor="text2" w:themeTint="99"/>
              </w:rPr>
            </w:pPr>
            <w:r w:rsidRPr="00E37FF8">
              <w:rPr>
                <w:rFonts w:ascii="Arial" w:hAnsi="Arial" w:cs="Arial"/>
                <w:i/>
                <w:color w:val="548DD4" w:themeColor="text2" w:themeTint="99"/>
              </w:rPr>
              <w:t>A Price/Quality ratio should be applied e.g. 30/70 - a guide is below; subsequently the sub criteria can be determined.</w:t>
            </w:r>
          </w:p>
          <w:p w:rsidR="00E37FF8" w:rsidRDefault="00E37FF8" w:rsidP="00E37FF8">
            <w:pPr>
              <w:pStyle w:val="ListParagraph"/>
              <w:ind w:left="34"/>
              <w:jc w:val="both"/>
              <w:rPr>
                <w:rFonts w:ascii="Arial" w:hAnsi="Arial" w:cs="Arial"/>
                <w:i/>
                <w:color w:val="548DD4" w:themeColor="text2" w:themeTint="99"/>
              </w:rPr>
            </w:pPr>
          </w:p>
          <w:p w:rsidR="00E37FF8" w:rsidRPr="00E37FF8" w:rsidRDefault="00E37FF8" w:rsidP="00E37FF8">
            <w:pPr>
              <w:pStyle w:val="ListParagraph"/>
              <w:ind w:left="34"/>
              <w:jc w:val="both"/>
              <w:rPr>
                <w:rFonts w:ascii="Arial" w:hAnsi="Arial" w:cs="Arial"/>
                <w:i/>
                <w:color w:val="548DD4" w:themeColor="text2" w:themeTint="99"/>
              </w:rPr>
            </w:pPr>
            <w:r w:rsidRPr="00E37FF8">
              <w:rPr>
                <w:rFonts w:ascii="Arial" w:hAnsi="Arial" w:cs="Arial"/>
                <w:i/>
                <w:color w:val="548DD4" w:themeColor="text2" w:themeTint="99"/>
              </w:rPr>
              <w:t>Once you have decided on the sub-criteria, you should apply a percentage weighting to that area, the most important elements should be weighting higher. Each Sub section should add up to the high level criteria i.e. Quality 70%, each sub-section should add up to 70%.</w:t>
            </w:r>
          </w:p>
          <w:p w:rsidR="00E37FF8" w:rsidRDefault="00E37FF8" w:rsidP="00E37FF8">
            <w:pPr>
              <w:pStyle w:val="ListParagraph"/>
              <w:ind w:left="34"/>
              <w:jc w:val="both"/>
              <w:rPr>
                <w:rFonts w:ascii="Arial" w:hAnsi="Arial" w:cs="Arial"/>
                <w:i/>
                <w:color w:val="548DD4" w:themeColor="text2" w:themeTint="99"/>
              </w:rPr>
            </w:pPr>
            <w:r>
              <w:rPr>
                <w:rFonts w:ascii="Arial" w:hAnsi="Arial" w:cs="Arial"/>
                <w:i/>
                <w:color w:val="548DD4" w:themeColor="text2" w:themeTint="99"/>
              </w:rPr>
              <w:t xml:space="preserve"> </w:t>
            </w:r>
          </w:p>
          <w:p w:rsidR="00E37FF8" w:rsidRPr="00E37FF8" w:rsidRDefault="00E37FF8" w:rsidP="00E37FF8">
            <w:pPr>
              <w:pStyle w:val="ListParagraph"/>
              <w:ind w:left="34"/>
              <w:jc w:val="both"/>
              <w:rPr>
                <w:rFonts w:ascii="Arial" w:hAnsi="Arial" w:cs="Arial"/>
                <w:i/>
                <w:color w:val="548DD4" w:themeColor="text2" w:themeTint="99"/>
              </w:rPr>
            </w:pPr>
            <w:r w:rsidRPr="00E37FF8">
              <w:rPr>
                <w:rFonts w:ascii="Arial" w:hAnsi="Arial" w:cs="Arial"/>
                <w:i/>
                <w:color w:val="548DD4" w:themeColor="text2" w:themeTint="99"/>
              </w:rPr>
              <w:t>Each sub-section should have corresponding questions you want to ask the Supplier to provide information, an example of which could be if you had specified a level of qualification as a minimum, you could ask for an organogram of the people who the Supplier would be proposing to deliver the contract and request CV’s for them.</w:t>
            </w:r>
          </w:p>
          <w:p w:rsidR="00E37FF8" w:rsidRPr="005D3F32" w:rsidRDefault="00E37FF8" w:rsidP="00E37FF8">
            <w:pPr>
              <w:pStyle w:val="ListParagraph"/>
              <w:ind w:hanging="686"/>
              <w:rPr>
                <w:rFonts w:ascii="Arial" w:hAnsi="Arial" w:cs="Arial"/>
                <w:i/>
                <w:color w:val="548DD4" w:themeColor="text2" w:themeTint="99"/>
              </w:rPr>
            </w:pPr>
          </w:p>
          <w:p w:rsidR="00E37FF8" w:rsidRPr="005D3F32" w:rsidRDefault="00E37FF8" w:rsidP="00E37FF8">
            <w:pPr>
              <w:pStyle w:val="ListParagraph"/>
              <w:ind w:left="1080"/>
              <w:jc w:val="both"/>
              <w:rPr>
                <w:rFonts w:ascii="Arial" w:hAnsi="Arial" w:cs="Arial"/>
                <w:i/>
                <w:color w:val="548DD4" w:themeColor="text2" w:themeTint="99"/>
              </w:rPr>
            </w:pPr>
          </w:p>
        </w:tc>
      </w:tr>
    </w:tbl>
    <w:p w:rsidR="0054717F" w:rsidRDefault="0054717F" w:rsidP="0054717F">
      <w:pPr>
        <w:jc w:val="both"/>
        <w:rPr>
          <w:rFonts w:ascii="Arial" w:hAnsi="Arial" w:cs="Arial"/>
          <w:color w:val="FF0000"/>
        </w:rPr>
      </w:pPr>
    </w:p>
    <w:p w:rsidR="00E37FF8" w:rsidRDefault="00E37FF8" w:rsidP="0054717F">
      <w:pPr>
        <w:jc w:val="both"/>
        <w:rPr>
          <w:rFonts w:ascii="Arial" w:hAnsi="Arial" w:cs="Arial"/>
          <w:color w:val="FF0000"/>
        </w:rPr>
      </w:pPr>
    </w:p>
    <w:tbl>
      <w:tblPr>
        <w:tblStyle w:val="TableGrid"/>
        <w:tblW w:w="0" w:type="auto"/>
        <w:tblInd w:w="108" w:type="dxa"/>
        <w:tblLook w:val="04A0" w:firstRow="1" w:lastRow="0" w:firstColumn="1" w:lastColumn="0" w:noHBand="0" w:noVBand="1"/>
      </w:tblPr>
      <w:tblGrid>
        <w:gridCol w:w="9134"/>
      </w:tblGrid>
      <w:tr w:rsidR="00E37FF8" w:rsidTr="009C6BAD">
        <w:tc>
          <w:tcPr>
            <w:tcW w:w="9134" w:type="dxa"/>
            <w:shd w:val="clear" w:color="auto" w:fill="D9D9D9" w:themeFill="background1" w:themeFillShade="D9"/>
          </w:tcPr>
          <w:p w:rsidR="00E37FF8" w:rsidRPr="00C16926" w:rsidRDefault="00E37FF8" w:rsidP="00E37FF8">
            <w:pPr>
              <w:pStyle w:val="ListParagraph"/>
              <w:ind w:left="360" w:hanging="326"/>
              <w:jc w:val="both"/>
              <w:rPr>
                <w:rFonts w:ascii="Arial" w:hAnsi="Arial" w:cs="Arial"/>
                <w:u w:val="single"/>
              </w:rPr>
            </w:pPr>
          </w:p>
          <w:p w:rsidR="005E2006" w:rsidRPr="00871604" w:rsidRDefault="005E2006" w:rsidP="005E2006">
            <w:pPr>
              <w:pStyle w:val="ListParagraph"/>
              <w:ind w:left="34"/>
              <w:jc w:val="both"/>
              <w:rPr>
                <w:rFonts w:ascii="Arial" w:hAnsi="Arial" w:cs="Arial"/>
                <w:u w:val="single"/>
              </w:rPr>
            </w:pPr>
            <w:r w:rsidRPr="00871604">
              <w:rPr>
                <w:rFonts w:ascii="Arial" w:hAnsi="Arial" w:cs="Arial"/>
                <w:u w:val="single"/>
              </w:rPr>
              <w:t xml:space="preserve">Pricing </w:t>
            </w:r>
            <w:r w:rsidRPr="00AD5ED9">
              <w:rPr>
                <w:rFonts w:ascii="Arial" w:hAnsi="Arial" w:cs="Arial"/>
                <w:i/>
                <w:color w:val="0070C0"/>
                <w:u w:val="single"/>
              </w:rPr>
              <w:t>(Results &amp; Outcomes)</w:t>
            </w:r>
          </w:p>
          <w:p w:rsidR="00E37FF8" w:rsidRDefault="00E37FF8" w:rsidP="00E37FF8">
            <w:pPr>
              <w:pStyle w:val="ListParagraph"/>
              <w:ind w:left="360" w:hanging="326"/>
              <w:jc w:val="both"/>
              <w:rPr>
                <w:rFonts w:ascii="Arial" w:hAnsi="Arial" w:cs="Arial"/>
              </w:rPr>
            </w:pPr>
          </w:p>
        </w:tc>
      </w:tr>
      <w:tr w:rsidR="00E37FF8" w:rsidRPr="005E2006" w:rsidTr="00E37FF8">
        <w:tc>
          <w:tcPr>
            <w:tcW w:w="9134" w:type="dxa"/>
          </w:tcPr>
          <w:p w:rsidR="00E37FF8" w:rsidRPr="005E2006" w:rsidRDefault="00E37FF8" w:rsidP="00E37FF8">
            <w:pPr>
              <w:pStyle w:val="ListParagraph"/>
              <w:jc w:val="both"/>
              <w:rPr>
                <w:rFonts w:ascii="Arial" w:hAnsi="Arial" w:cs="Arial"/>
                <w:u w:val="single"/>
              </w:rPr>
            </w:pPr>
          </w:p>
          <w:p w:rsidR="005E2006" w:rsidRPr="005E2006" w:rsidRDefault="005E2006" w:rsidP="005E2006">
            <w:pPr>
              <w:pStyle w:val="ListParagraph"/>
              <w:ind w:left="34"/>
              <w:jc w:val="both"/>
              <w:rPr>
                <w:rFonts w:ascii="Arial" w:hAnsi="Arial" w:cs="Arial"/>
                <w:i/>
                <w:color w:val="548DD4" w:themeColor="text2" w:themeTint="99"/>
              </w:rPr>
            </w:pPr>
            <w:r w:rsidRPr="005E2006">
              <w:rPr>
                <w:rFonts w:ascii="Arial" w:hAnsi="Arial" w:cs="Arial"/>
                <w:i/>
                <w:color w:val="548DD4" w:themeColor="text2" w:themeTint="99"/>
              </w:rPr>
              <w:t>In order for you to evaluate each bid on a like for like basis and for ease of comparison, each Supplier should submit costs for the specific services or items described in the specification.</w:t>
            </w:r>
          </w:p>
          <w:p w:rsidR="005E2006" w:rsidRPr="005E2006" w:rsidRDefault="005E2006" w:rsidP="005E2006">
            <w:pPr>
              <w:pStyle w:val="ListParagraph"/>
              <w:ind w:left="34"/>
              <w:jc w:val="both"/>
              <w:rPr>
                <w:rFonts w:ascii="Arial" w:hAnsi="Arial" w:cs="Arial"/>
                <w:i/>
                <w:color w:val="548DD4" w:themeColor="text2" w:themeTint="99"/>
              </w:rPr>
            </w:pPr>
            <w:r w:rsidRPr="005E2006">
              <w:rPr>
                <w:rFonts w:ascii="Arial" w:hAnsi="Arial" w:cs="Arial"/>
                <w:i/>
                <w:color w:val="548DD4" w:themeColor="text2" w:themeTint="99"/>
              </w:rPr>
              <w:t>The following is a list of examples of some pricing mechanisms:</w:t>
            </w:r>
          </w:p>
          <w:p w:rsidR="005E2006" w:rsidRPr="005E2006" w:rsidRDefault="005E2006" w:rsidP="005E2006">
            <w:pPr>
              <w:pStyle w:val="ListParagraph"/>
              <w:numPr>
                <w:ilvl w:val="1"/>
                <w:numId w:val="16"/>
              </w:numPr>
              <w:jc w:val="both"/>
              <w:rPr>
                <w:rFonts w:ascii="Arial" w:hAnsi="Arial" w:cs="Arial"/>
                <w:i/>
                <w:color w:val="548DD4" w:themeColor="text2" w:themeTint="99"/>
              </w:rPr>
            </w:pPr>
            <w:r w:rsidRPr="005E2006">
              <w:rPr>
                <w:rFonts w:ascii="Arial" w:hAnsi="Arial" w:cs="Arial"/>
                <w:i/>
                <w:color w:val="548DD4" w:themeColor="text2" w:themeTint="99"/>
              </w:rPr>
              <w:t xml:space="preserve">Retention Fee - A fee paid annually/monthly for all services described in the specification, the fee is chargeable whether the service is utilised or not, generally based on an estimated number hours etc., if this </w:t>
            </w:r>
            <w:r w:rsidRPr="005E2006">
              <w:rPr>
                <w:rFonts w:ascii="Arial" w:hAnsi="Arial" w:cs="Arial"/>
                <w:i/>
                <w:color w:val="548DD4" w:themeColor="text2" w:themeTint="99"/>
              </w:rPr>
              <w:tab/>
              <w:t>increases significantly there is generally an mechanism included to revise costs, and vice versa it is possible to include a stipulation if the estimate is significantly not met a rebate could be applied.</w:t>
            </w:r>
          </w:p>
          <w:p w:rsidR="005E2006" w:rsidRPr="005E2006" w:rsidRDefault="005E2006" w:rsidP="005E2006">
            <w:pPr>
              <w:pStyle w:val="ListParagraph"/>
              <w:numPr>
                <w:ilvl w:val="1"/>
                <w:numId w:val="16"/>
              </w:numPr>
              <w:jc w:val="both"/>
              <w:rPr>
                <w:rFonts w:ascii="Arial" w:hAnsi="Arial" w:cs="Arial"/>
                <w:i/>
                <w:color w:val="548DD4" w:themeColor="text2" w:themeTint="99"/>
              </w:rPr>
            </w:pPr>
            <w:r w:rsidRPr="005E2006">
              <w:rPr>
                <w:rFonts w:ascii="Arial" w:hAnsi="Arial" w:cs="Arial"/>
                <w:i/>
                <w:color w:val="548DD4" w:themeColor="text2" w:themeTint="99"/>
              </w:rPr>
              <w:t xml:space="preserve">Hourly Rate Call Off - </w:t>
            </w:r>
            <w:r w:rsidRPr="005E2006">
              <w:rPr>
                <w:rFonts w:ascii="Arial" w:hAnsi="Arial" w:cs="Arial"/>
                <w:i/>
                <w:color w:val="548DD4" w:themeColor="text2" w:themeTint="99"/>
              </w:rPr>
              <w:tab/>
              <w:t xml:space="preserve">Hourly rate are requested for varied levels of employees. E.g. qualified trades. </w:t>
            </w:r>
          </w:p>
          <w:p w:rsidR="005E2006" w:rsidRPr="005E2006" w:rsidRDefault="005E2006" w:rsidP="005E2006">
            <w:pPr>
              <w:pStyle w:val="ListParagraph"/>
              <w:numPr>
                <w:ilvl w:val="1"/>
                <w:numId w:val="16"/>
              </w:numPr>
              <w:jc w:val="both"/>
              <w:rPr>
                <w:rFonts w:ascii="Arial" w:hAnsi="Arial" w:cs="Arial"/>
                <w:i/>
                <w:color w:val="548DD4" w:themeColor="text2" w:themeTint="99"/>
              </w:rPr>
            </w:pPr>
            <w:r w:rsidRPr="005E2006">
              <w:rPr>
                <w:rFonts w:ascii="Arial" w:hAnsi="Arial" w:cs="Arial"/>
                <w:i/>
                <w:color w:val="548DD4" w:themeColor="text2" w:themeTint="99"/>
              </w:rPr>
              <w:t>Day Rates - Day rates are requested for varied levels of employees e.g. director, senior project manager, administrator.</w:t>
            </w:r>
          </w:p>
          <w:p w:rsidR="005E2006" w:rsidRPr="005E2006" w:rsidRDefault="005E2006" w:rsidP="005E2006">
            <w:pPr>
              <w:pStyle w:val="ListParagraph"/>
              <w:numPr>
                <w:ilvl w:val="1"/>
                <w:numId w:val="16"/>
              </w:numPr>
              <w:jc w:val="both"/>
              <w:rPr>
                <w:rFonts w:ascii="Arial" w:hAnsi="Arial" w:cs="Arial"/>
                <w:i/>
                <w:color w:val="548DD4" w:themeColor="text2" w:themeTint="99"/>
              </w:rPr>
            </w:pPr>
            <w:r w:rsidRPr="005E2006">
              <w:rPr>
                <w:rFonts w:ascii="Arial" w:hAnsi="Arial" w:cs="Arial"/>
                <w:i/>
                <w:color w:val="548DD4" w:themeColor="text2" w:themeTint="99"/>
              </w:rPr>
              <w:t>Item Quantity - Price per Item of Goods</w:t>
            </w:r>
          </w:p>
          <w:p w:rsidR="005E2006" w:rsidRPr="005E2006" w:rsidRDefault="005E2006" w:rsidP="005E2006">
            <w:pPr>
              <w:pStyle w:val="ListParagraph"/>
              <w:numPr>
                <w:ilvl w:val="1"/>
                <w:numId w:val="16"/>
              </w:numPr>
              <w:jc w:val="both"/>
              <w:rPr>
                <w:rFonts w:ascii="Arial" w:hAnsi="Arial" w:cs="Arial"/>
                <w:i/>
                <w:color w:val="548DD4" w:themeColor="text2" w:themeTint="99"/>
              </w:rPr>
            </w:pPr>
            <w:r w:rsidRPr="005E2006">
              <w:rPr>
                <w:rFonts w:ascii="Arial" w:hAnsi="Arial" w:cs="Arial"/>
                <w:i/>
                <w:color w:val="548DD4" w:themeColor="text2" w:themeTint="99"/>
              </w:rPr>
              <w:t xml:space="preserve">Unit Measurement - </w:t>
            </w:r>
            <w:r w:rsidRPr="005E2006">
              <w:rPr>
                <w:rFonts w:ascii="Arial" w:hAnsi="Arial" w:cs="Arial"/>
                <w:i/>
                <w:color w:val="548DD4" w:themeColor="text2" w:themeTint="99"/>
              </w:rPr>
              <w:tab/>
              <w:t>Price per unit, e.g. if this applied to Floor Coverings etc. the Supplier would provide a cost per square meter m² or length of material.</w:t>
            </w:r>
          </w:p>
          <w:p w:rsidR="00E37FF8" w:rsidRPr="005E2006" w:rsidRDefault="005E2006" w:rsidP="005E2006">
            <w:pPr>
              <w:pStyle w:val="ListParagraph"/>
              <w:ind w:left="1440"/>
              <w:jc w:val="both"/>
              <w:rPr>
                <w:rFonts w:ascii="Arial" w:hAnsi="Arial" w:cs="Arial"/>
                <w:i/>
                <w:color w:val="548DD4" w:themeColor="text2" w:themeTint="99"/>
              </w:rPr>
            </w:pPr>
            <w:r w:rsidRPr="005E2006">
              <w:rPr>
                <w:rFonts w:ascii="Arial" w:hAnsi="Arial" w:cs="Arial"/>
                <w:i/>
                <w:color w:val="548DD4" w:themeColor="text2" w:themeTint="99"/>
              </w:rPr>
              <w:t>Note: It is important when opting for an Hourly/Day Rate that, in addition to the specification, we provide a scenario based pricing example.  The Supplier would then apply their rates, material mark-up etc. and provide a quote, the evaluation of prices would be based on this calculation, subsequently once awarded each call off would be calculated using the rates submitted in the Suppliers bid.</w:t>
            </w:r>
          </w:p>
        </w:tc>
      </w:tr>
    </w:tbl>
    <w:p w:rsidR="00E37FF8" w:rsidRPr="005E2006" w:rsidRDefault="00E37FF8" w:rsidP="0054717F">
      <w:pPr>
        <w:jc w:val="both"/>
        <w:rPr>
          <w:rFonts w:ascii="Arial" w:hAnsi="Arial" w:cs="Arial"/>
          <w:color w:val="FF0000"/>
        </w:rPr>
      </w:pPr>
    </w:p>
    <w:p w:rsidR="00447DD9" w:rsidRPr="00506AC4" w:rsidRDefault="00506AC4" w:rsidP="00E31AA4">
      <w:pPr>
        <w:jc w:val="both"/>
        <w:rPr>
          <w:rFonts w:ascii="Arial" w:hAnsi="Arial" w:cs="Arial"/>
          <w:u w:val="single"/>
        </w:rPr>
      </w:pPr>
      <w:r w:rsidRPr="00506AC4">
        <w:rPr>
          <w:rFonts w:ascii="Arial" w:hAnsi="Arial" w:cs="Arial"/>
          <w:u w:val="single"/>
        </w:rPr>
        <w:t xml:space="preserve">Guide to </w:t>
      </w:r>
      <w:r w:rsidR="00EA3B48">
        <w:rPr>
          <w:rFonts w:ascii="Arial" w:hAnsi="Arial" w:cs="Arial"/>
          <w:u w:val="single"/>
        </w:rPr>
        <w:t>determining Price/Quality Ratio</w:t>
      </w:r>
    </w:p>
    <w:tbl>
      <w:tblPr>
        <w:tblW w:w="4942" w:type="pct"/>
        <w:tblInd w:w="108" w:type="dxa"/>
        <w:tblLook w:val="04A0" w:firstRow="1" w:lastRow="0" w:firstColumn="1" w:lastColumn="0" w:noHBand="0" w:noVBand="1"/>
      </w:tblPr>
      <w:tblGrid>
        <w:gridCol w:w="1879"/>
        <w:gridCol w:w="4105"/>
        <w:gridCol w:w="3151"/>
      </w:tblGrid>
      <w:tr w:rsidR="006A5355" w:rsidRPr="006A5355" w:rsidTr="00793540">
        <w:trPr>
          <w:trHeight w:val="300"/>
        </w:trPr>
        <w:tc>
          <w:tcPr>
            <w:tcW w:w="969"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6A5355" w:rsidRPr="006A5355" w:rsidRDefault="006A5355" w:rsidP="006A5355">
            <w:pPr>
              <w:spacing w:after="0" w:line="240" w:lineRule="auto"/>
              <w:rPr>
                <w:rFonts w:ascii="Arial" w:eastAsia="Times New Roman" w:hAnsi="Arial" w:cs="Arial"/>
                <w:color w:val="000000"/>
                <w:lang w:eastAsia="en-GB"/>
              </w:rPr>
            </w:pPr>
            <w:r w:rsidRPr="006A5355">
              <w:rPr>
                <w:rFonts w:ascii="Arial" w:eastAsia="Times New Roman" w:hAnsi="Arial" w:cs="Arial"/>
                <w:color w:val="000000"/>
                <w:lang w:eastAsia="en-GB"/>
              </w:rPr>
              <w:t>Commodity Type</w:t>
            </w:r>
          </w:p>
        </w:tc>
        <w:tc>
          <w:tcPr>
            <w:tcW w:w="2306" w:type="pct"/>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rsidR="006A5355" w:rsidRPr="006A5355" w:rsidRDefault="006A5355" w:rsidP="006A5355">
            <w:pPr>
              <w:spacing w:after="0" w:line="240" w:lineRule="auto"/>
              <w:rPr>
                <w:rFonts w:ascii="Arial" w:eastAsia="Times New Roman" w:hAnsi="Arial" w:cs="Arial"/>
                <w:color w:val="000000"/>
                <w:lang w:eastAsia="en-GB"/>
              </w:rPr>
            </w:pPr>
            <w:r w:rsidRPr="006A5355">
              <w:rPr>
                <w:rFonts w:ascii="Arial" w:eastAsia="Times New Roman" w:hAnsi="Arial" w:cs="Arial"/>
                <w:color w:val="000000"/>
                <w:lang w:eastAsia="en-GB"/>
              </w:rPr>
              <w:t>Description</w:t>
            </w:r>
          </w:p>
        </w:tc>
        <w:tc>
          <w:tcPr>
            <w:tcW w:w="1725" w:type="pct"/>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rsidR="006A5355" w:rsidRPr="006A5355" w:rsidRDefault="006A5355" w:rsidP="006A5355">
            <w:pPr>
              <w:spacing w:after="0" w:line="240" w:lineRule="auto"/>
              <w:rPr>
                <w:rFonts w:ascii="Arial" w:eastAsia="Times New Roman" w:hAnsi="Arial" w:cs="Arial"/>
                <w:color w:val="000000"/>
                <w:lang w:eastAsia="en-GB"/>
              </w:rPr>
            </w:pPr>
            <w:r w:rsidRPr="006A5355">
              <w:rPr>
                <w:rFonts w:ascii="Arial" w:eastAsia="Times New Roman" w:hAnsi="Arial" w:cs="Arial"/>
                <w:color w:val="000000"/>
                <w:lang w:eastAsia="en-GB"/>
              </w:rPr>
              <w:t>Suggested Price/Quality Ratio</w:t>
            </w:r>
          </w:p>
        </w:tc>
      </w:tr>
      <w:tr w:rsidR="006A5355" w:rsidRPr="006A5355" w:rsidTr="00131492">
        <w:trPr>
          <w:trHeight w:val="600"/>
        </w:trPr>
        <w:tc>
          <w:tcPr>
            <w:tcW w:w="969" w:type="pct"/>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6A5355" w:rsidRPr="006A5355" w:rsidRDefault="006A5355" w:rsidP="00131492">
            <w:pPr>
              <w:spacing w:after="0" w:line="240" w:lineRule="auto"/>
              <w:rPr>
                <w:rFonts w:ascii="Arial" w:eastAsia="Times New Roman" w:hAnsi="Arial" w:cs="Arial"/>
                <w:color w:val="000000"/>
                <w:lang w:eastAsia="en-GB"/>
              </w:rPr>
            </w:pPr>
            <w:r w:rsidRPr="006A5355">
              <w:rPr>
                <w:rFonts w:ascii="Arial" w:eastAsia="Times New Roman" w:hAnsi="Arial" w:cs="Arial"/>
                <w:color w:val="000000"/>
                <w:lang w:eastAsia="en-GB"/>
              </w:rPr>
              <w:t>Routine</w:t>
            </w:r>
          </w:p>
        </w:tc>
        <w:tc>
          <w:tcPr>
            <w:tcW w:w="2306" w:type="pct"/>
            <w:tcBorders>
              <w:top w:val="nil"/>
              <w:left w:val="nil"/>
              <w:bottom w:val="single" w:sz="4" w:space="0" w:color="auto"/>
              <w:right w:val="single" w:sz="4" w:space="0" w:color="auto"/>
            </w:tcBorders>
            <w:shd w:val="clear" w:color="auto" w:fill="DBE5F1" w:themeFill="accent1" w:themeFillTint="33"/>
            <w:vAlign w:val="center"/>
            <w:hideMark/>
          </w:tcPr>
          <w:p w:rsidR="006A5355" w:rsidRPr="00793540" w:rsidRDefault="006A5355" w:rsidP="00131492">
            <w:pPr>
              <w:spacing w:after="0" w:line="240" w:lineRule="auto"/>
              <w:rPr>
                <w:rFonts w:ascii="Arial" w:eastAsia="Times New Roman" w:hAnsi="Arial" w:cs="Arial"/>
                <w:color w:val="000000"/>
                <w:lang w:eastAsia="en-GB"/>
              </w:rPr>
            </w:pPr>
            <w:r w:rsidRPr="00793540">
              <w:rPr>
                <w:rFonts w:ascii="Arial" w:eastAsia="Times New Roman" w:hAnsi="Arial" w:cs="Arial"/>
                <w:color w:val="000000"/>
                <w:lang w:eastAsia="en-GB"/>
              </w:rPr>
              <w:t>Low Value/High Volume,                                                                     Many existing alternatives</w:t>
            </w:r>
          </w:p>
        </w:tc>
        <w:tc>
          <w:tcPr>
            <w:tcW w:w="1725" w:type="pct"/>
            <w:tcBorders>
              <w:top w:val="nil"/>
              <w:left w:val="nil"/>
              <w:bottom w:val="single" w:sz="4" w:space="0" w:color="auto"/>
              <w:right w:val="single" w:sz="4" w:space="0" w:color="auto"/>
            </w:tcBorders>
            <w:shd w:val="clear" w:color="auto" w:fill="DBE5F1" w:themeFill="accent1" w:themeFillTint="33"/>
            <w:noWrap/>
            <w:vAlign w:val="center"/>
            <w:hideMark/>
          </w:tcPr>
          <w:p w:rsidR="006A5355" w:rsidRPr="006A5355" w:rsidRDefault="006A5355" w:rsidP="00131492">
            <w:pPr>
              <w:spacing w:after="0" w:line="240" w:lineRule="auto"/>
              <w:rPr>
                <w:rFonts w:ascii="Arial" w:eastAsia="Times New Roman" w:hAnsi="Arial" w:cs="Arial"/>
                <w:color w:val="000000"/>
                <w:lang w:eastAsia="en-GB"/>
              </w:rPr>
            </w:pPr>
            <w:r w:rsidRPr="006A5355">
              <w:rPr>
                <w:rFonts w:ascii="Arial" w:eastAsia="Times New Roman" w:hAnsi="Arial" w:cs="Arial"/>
                <w:color w:val="000000"/>
                <w:lang w:eastAsia="en-GB"/>
              </w:rPr>
              <w:t>90:10 to 80:20</w:t>
            </w:r>
          </w:p>
        </w:tc>
      </w:tr>
      <w:tr w:rsidR="006A5355" w:rsidRPr="006A5355" w:rsidTr="00131492">
        <w:trPr>
          <w:trHeight w:val="900"/>
        </w:trPr>
        <w:tc>
          <w:tcPr>
            <w:tcW w:w="969" w:type="pct"/>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6A5355" w:rsidRPr="006A5355" w:rsidRDefault="006A5355" w:rsidP="00131492">
            <w:pPr>
              <w:spacing w:after="0" w:line="240" w:lineRule="auto"/>
              <w:rPr>
                <w:rFonts w:ascii="Arial" w:eastAsia="Times New Roman" w:hAnsi="Arial" w:cs="Arial"/>
                <w:color w:val="000000"/>
                <w:lang w:eastAsia="en-GB"/>
              </w:rPr>
            </w:pPr>
            <w:r w:rsidRPr="006A5355">
              <w:rPr>
                <w:rFonts w:ascii="Arial" w:eastAsia="Times New Roman" w:hAnsi="Arial" w:cs="Arial"/>
                <w:color w:val="000000"/>
                <w:lang w:eastAsia="en-GB"/>
              </w:rPr>
              <w:lastRenderedPageBreak/>
              <w:t>Leverage</w:t>
            </w:r>
          </w:p>
        </w:tc>
        <w:tc>
          <w:tcPr>
            <w:tcW w:w="2306" w:type="pct"/>
            <w:tcBorders>
              <w:top w:val="nil"/>
              <w:left w:val="nil"/>
              <w:bottom w:val="single" w:sz="4" w:space="0" w:color="auto"/>
              <w:right w:val="single" w:sz="4" w:space="0" w:color="auto"/>
            </w:tcBorders>
            <w:shd w:val="clear" w:color="auto" w:fill="DBE5F1" w:themeFill="accent1" w:themeFillTint="33"/>
            <w:vAlign w:val="center"/>
            <w:hideMark/>
          </w:tcPr>
          <w:p w:rsidR="006A5355" w:rsidRPr="006A5355" w:rsidRDefault="006A5355" w:rsidP="00131492">
            <w:pPr>
              <w:spacing w:after="0" w:line="240" w:lineRule="auto"/>
              <w:rPr>
                <w:rFonts w:ascii="Arial" w:eastAsia="Times New Roman" w:hAnsi="Arial" w:cs="Arial"/>
                <w:color w:val="000000"/>
                <w:lang w:eastAsia="en-GB"/>
              </w:rPr>
            </w:pPr>
            <w:r w:rsidRPr="006A5355">
              <w:rPr>
                <w:rFonts w:ascii="Arial" w:eastAsia="Times New Roman" w:hAnsi="Arial" w:cs="Arial"/>
                <w:color w:val="000000"/>
                <w:lang w:eastAsia="en-GB"/>
              </w:rPr>
              <w:t>High spend areas                                                                                               Many Sources of Supply                                                                 Commercial Involvement can influence price</w:t>
            </w:r>
          </w:p>
        </w:tc>
        <w:tc>
          <w:tcPr>
            <w:tcW w:w="1725" w:type="pct"/>
            <w:tcBorders>
              <w:top w:val="nil"/>
              <w:left w:val="nil"/>
              <w:bottom w:val="single" w:sz="4" w:space="0" w:color="auto"/>
              <w:right w:val="single" w:sz="4" w:space="0" w:color="auto"/>
            </w:tcBorders>
            <w:shd w:val="clear" w:color="auto" w:fill="DBE5F1" w:themeFill="accent1" w:themeFillTint="33"/>
            <w:noWrap/>
            <w:vAlign w:val="center"/>
            <w:hideMark/>
          </w:tcPr>
          <w:p w:rsidR="006A5355" w:rsidRPr="006A5355" w:rsidRDefault="006A5355" w:rsidP="00131492">
            <w:pPr>
              <w:spacing w:after="0" w:line="240" w:lineRule="auto"/>
              <w:rPr>
                <w:rFonts w:ascii="Arial" w:eastAsia="Times New Roman" w:hAnsi="Arial" w:cs="Arial"/>
                <w:color w:val="000000"/>
                <w:lang w:eastAsia="en-GB"/>
              </w:rPr>
            </w:pPr>
            <w:r w:rsidRPr="006A5355">
              <w:rPr>
                <w:rFonts w:ascii="Arial" w:eastAsia="Times New Roman" w:hAnsi="Arial" w:cs="Arial"/>
                <w:color w:val="000000"/>
                <w:lang w:eastAsia="en-GB"/>
              </w:rPr>
              <w:t>70:30 to 60:40</w:t>
            </w:r>
          </w:p>
        </w:tc>
      </w:tr>
      <w:tr w:rsidR="006A5355" w:rsidRPr="006A5355" w:rsidTr="00131492">
        <w:trPr>
          <w:trHeight w:val="1200"/>
        </w:trPr>
        <w:tc>
          <w:tcPr>
            <w:tcW w:w="969" w:type="pct"/>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6A5355" w:rsidRPr="006A5355" w:rsidRDefault="006A5355" w:rsidP="00131492">
            <w:pPr>
              <w:spacing w:after="0" w:line="240" w:lineRule="auto"/>
              <w:rPr>
                <w:rFonts w:ascii="Arial" w:eastAsia="Times New Roman" w:hAnsi="Arial" w:cs="Arial"/>
                <w:color w:val="000000"/>
                <w:lang w:eastAsia="en-GB"/>
              </w:rPr>
            </w:pPr>
            <w:r w:rsidRPr="006A5355">
              <w:rPr>
                <w:rFonts w:ascii="Arial" w:eastAsia="Times New Roman" w:hAnsi="Arial" w:cs="Arial"/>
                <w:color w:val="000000"/>
                <w:lang w:eastAsia="en-GB"/>
              </w:rPr>
              <w:t>Strategic</w:t>
            </w:r>
          </w:p>
        </w:tc>
        <w:tc>
          <w:tcPr>
            <w:tcW w:w="2306" w:type="pct"/>
            <w:tcBorders>
              <w:top w:val="nil"/>
              <w:left w:val="nil"/>
              <w:bottom w:val="single" w:sz="4" w:space="0" w:color="auto"/>
              <w:right w:val="single" w:sz="4" w:space="0" w:color="auto"/>
            </w:tcBorders>
            <w:shd w:val="clear" w:color="auto" w:fill="DBE5F1" w:themeFill="accent1" w:themeFillTint="33"/>
            <w:vAlign w:val="center"/>
            <w:hideMark/>
          </w:tcPr>
          <w:p w:rsidR="006A5355" w:rsidRPr="006A5355" w:rsidRDefault="006A5355" w:rsidP="00131492">
            <w:pPr>
              <w:spacing w:after="0" w:line="240" w:lineRule="auto"/>
              <w:rPr>
                <w:rFonts w:ascii="Arial" w:eastAsia="Times New Roman" w:hAnsi="Arial" w:cs="Arial"/>
                <w:color w:val="000000"/>
                <w:lang w:eastAsia="en-GB"/>
              </w:rPr>
            </w:pPr>
            <w:r w:rsidRPr="006A5355">
              <w:rPr>
                <w:rFonts w:ascii="Arial" w:eastAsia="Times New Roman" w:hAnsi="Arial" w:cs="Arial"/>
                <w:color w:val="000000"/>
                <w:lang w:eastAsia="en-GB"/>
              </w:rPr>
              <w:t>Strategic to Operations                                                                                Few Sources of Supply                                                                                       Large Spend area                                                                          Specification may be complex</w:t>
            </w:r>
          </w:p>
        </w:tc>
        <w:tc>
          <w:tcPr>
            <w:tcW w:w="1725" w:type="pct"/>
            <w:tcBorders>
              <w:top w:val="nil"/>
              <w:left w:val="nil"/>
              <w:bottom w:val="single" w:sz="4" w:space="0" w:color="auto"/>
              <w:right w:val="single" w:sz="4" w:space="0" w:color="auto"/>
            </w:tcBorders>
            <w:shd w:val="clear" w:color="auto" w:fill="DBE5F1" w:themeFill="accent1" w:themeFillTint="33"/>
            <w:noWrap/>
            <w:vAlign w:val="center"/>
            <w:hideMark/>
          </w:tcPr>
          <w:p w:rsidR="006A5355" w:rsidRPr="006A5355" w:rsidRDefault="006A5355" w:rsidP="00131492">
            <w:pPr>
              <w:spacing w:after="0" w:line="240" w:lineRule="auto"/>
              <w:rPr>
                <w:rFonts w:ascii="Arial" w:eastAsia="Times New Roman" w:hAnsi="Arial" w:cs="Arial"/>
                <w:color w:val="000000"/>
                <w:lang w:eastAsia="en-GB"/>
              </w:rPr>
            </w:pPr>
            <w:r w:rsidRPr="006A5355">
              <w:rPr>
                <w:rFonts w:ascii="Arial" w:eastAsia="Times New Roman" w:hAnsi="Arial" w:cs="Arial"/>
                <w:color w:val="000000"/>
                <w:lang w:eastAsia="en-GB"/>
              </w:rPr>
              <w:t>60:40 to 50:50 to 40:60</w:t>
            </w:r>
          </w:p>
        </w:tc>
      </w:tr>
      <w:tr w:rsidR="006A5355" w:rsidRPr="006A5355" w:rsidTr="00131492">
        <w:trPr>
          <w:trHeight w:val="900"/>
        </w:trPr>
        <w:tc>
          <w:tcPr>
            <w:tcW w:w="969" w:type="pct"/>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6A5355" w:rsidRPr="006A5355" w:rsidRDefault="006A5355" w:rsidP="00131492">
            <w:pPr>
              <w:spacing w:after="0" w:line="240" w:lineRule="auto"/>
              <w:rPr>
                <w:rFonts w:ascii="Arial" w:eastAsia="Times New Roman" w:hAnsi="Arial" w:cs="Arial"/>
                <w:color w:val="000000"/>
                <w:lang w:eastAsia="en-GB"/>
              </w:rPr>
            </w:pPr>
            <w:r w:rsidRPr="006A5355">
              <w:rPr>
                <w:rFonts w:ascii="Arial" w:eastAsia="Times New Roman" w:hAnsi="Arial" w:cs="Arial"/>
                <w:color w:val="000000"/>
                <w:lang w:eastAsia="en-GB"/>
              </w:rPr>
              <w:t>Bottleneck</w:t>
            </w:r>
          </w:p>
        </w:tc>
        <w:tc>
          <w:tcPr>
            <w:tcW w:w="2306" w:type="pct"/>
            <w:tcBorders>
              <w:top w:val="nil"/>
              <w:left w:val="nil"/>
              <w:bottom w:val="single" w:sz="4" w:space="0" w:color="auto"/>
              <w:right w:val="single" w:sz="4" w:space="0" w:color="auto"/>
            </w:tcBorders>
            <w:shd w:val="clear" w:color="auto" w:fill="DBE5F1" w:themeFill="accent1" w:themeFillTint="33"/>
            <w:vAlign w:val="center"/>
            <w:hideMark/>
          </w:tcPr>
          <w:p w:rsidR="006A5355" w:rsidRPr="006A5355" w:rsidRDefault="006A5355" w:rsidP="00131492">
            <w:pPr>
              <w:spacing w:after="0" w:line="240" w:lineRule="auto"/>
              <w:rPr>
                <w:rFonts w:ascii="Arial" w:eastAsia="Times New Roman" w:hAnsi="Arial" w:cs="Arial"/>
                <w:color w:val="000000"/>
                <w:lang w:eastAsia="en-GB"/>
              </w:rPr>
            </w:pPr>
            <w:r w:rsidRPr="006A5355">
              <w:rPr>
                <w:rFonts w:ascii="Arial" w:eastAsia="Times New Roman" w:hAnsi="Arial" w:cs="Arial"/>
                <w:color w:val="000000"/>
                <w:lang w:eastAsia="en-GB"/>
              </w:rPr>
              <w:t>Few Sources of Supply and alternatives available                                      Complex Specifications                                                                                 If supply fails, impact on organisation could be significant</w:t>
            </w:r>
          </w:p>
        </w:tc>
        <w:tc>
          <w:tcPr>
            <w:tcW w:w="1725" w:type="pct"/>
            <w:tcBorders>
              <w:top w:val="nil"/>
              <w:left w:val="nil"/>
              <w:bottom w:val="single" w:sz="4" w:space="0" w:color="auto"/>
              <w:right w:val="single" w:sz="4" w:space="0" w:color="auto"/>
            </w:tcBorders>
            <w:shd w:val="clear" w:color="auto" w:fill="DBE5F1" w:themeFill="accent1" w:themeFillTint="33"/>
            <w:noWrap/>
            <w:vAlign w:val="center"/>
            <w:hideMark/>
          </w:tcPr>
          <w:p w:rsidR="006A5355" w:rsidRPr="006A5355" w:rsidRDefault="006A5355" w:rsidP="00131492">
            <w:pPr>
              <w:spacing w:after="0" w:line="240" w:lineRule="auto"/>
              <w:rPr>
                <w:rFonts w:ascii="Arial" w:eastAsia="Times New Roman" w:hAnsi="Arial" w:cs="Arial"/>
                <w:color w:val="000000"/>
                <w:lang w:eastAsia="en-GB"/>
              </w:rPr>
            </w:pPr>
            <w:r w:rsidRPr="006A5355">
              <w:rPr>
                <w:rFonts w:ascii="Arial" w:eastAsia="Times New Roman" w:hAnsi="Arial" w:cs="Arial"/>
                <w:color w:val="000000"/>
                <w:lang w:eastAsia="en-GB"/>
              </w:rPr>
              <w:t>40:60 to 10:90</w:t>
            </w:r>
          </w:p>
        </w:tc>
      </w:tr>
    </w:tbl>
    <w:p w:rsidR="00BC7CDB" w:rsidRDefault="00BC7CDB" w:rsidP="00E31AA4">
      <w:pPr>
        <w:jc w:val="both"/>
        <w:rPr>
          <w:sz w:val="28"/>
          <w:szCs w:val="28"/>
          <w:u w:val="single"/>
        </w:rPr>
      </w:pPr>
    </w:p>
    <w:p w:rsidR="00BC7CDB" w:rsidRPr="00302093" w:rsidRDefault="00BC7CDB" w:rsidP="00E31AA4">
      <w:pPr>
        <w:jc w:val="both"/>
        <w:rPr>
          <w:sz w:val="28"/>
          <w:szCs w:val="28"/>
          <w:u w:val="single"/>
        </w:rPr>
      </w:pPr>
    </w:p>
    <w:p w:rsidR="00F47AC4" w:rsidRPr="00F47AC4" w:rsidRDefault="00F47AC4" w:rsidP="00E31AA4">
      <w:pPr>
        <w:jc w:val="both"/>
        <w:rPr>
          <w:u w:val="single"/>
        </w:rPr>
      </w:pPr>
    </w:p>
    <w:p w:rsidR="00F47AC4" w:rsidRDefault="00F47AC4" w:rsidP="00E31AA4">
      <w:pPr>
        <w:jc w:val="both"/>
      </w:pPr>
    </w:p>
    <w:p w:rsidR="00F47AC4" w:rsidRPr="00F47AC4" w:rsidRDefault="00F47AC4" w:rsidP="00E31AA4">
      <w:pPr>
        <w:jc w:val="both"/>
      </w:pPr>
    </w:p>
    <w:sectPr w:rsidR="00F47AC4" w:rsidRPr="00F47AC4" w:rsidSect="00F47AC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8BA" w:rsidRDefault="005A38BA" w:rsidP="00505EF5">
      <w:pPr>
        <w:spacing w:after="0" w:line="240" w:lineRule="auto"/>
      </w:pPr>
      <w:r>
        <w:separator/>
      </w:r>
    </w:p>
  </w:endnote>
  <w:endnote w:type="continuationSeparator" w:id="0">
    <w:p w:rsidR="005A38BA" w:rsidRDefault="005A38BA" w:rsidP="00505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8BA" w:rsidRDefault="005A38BA" w:rsidP="00505EF5">
      <w:pPr>
        <w:spacing w:after="0" w:line="240" w:lineRule="auto"/>
      </w:pPr>
      <w:r>
        <w:separator/>
      </w:r>
    </w:p>
  </w:footnote>
  <w:footnote w:type="continuationSeparator" w:id="0">
    <w:p w:rsidR="005A38BA" w:rsidRDefault="005A38BA" w:rsidP="00505E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8BA" w:rsidRPr="009D2925" w:rsidRDefault="005A38BA">
    <w:pPr>
      <w:pStyle w:val="Header"/>
      <w:rPr>
        <w:rFonts w:ascii="Arial" w:hAnsi="Arial" w:cs="Arial"/>
      </w:rPr>
    </w:pPr>
    <w:r>
      <w:rPr>
        <w:rFonts w:ascii="Arial" w:hAnsi="Arial" w:cs="Arial"/>
        <w:sz w:val="28"/>
        <w:szCs w:val="28"/>
      </w:rPr>
      <w:t>Procurement Guidance – Writing a s</w:t>
    </w:r>
    <w:r w:rsidRPr="009D2925">
      <w:rPr>
        <w:rFonts w:ascii="Arial" w:hAnsi="Arial" w:cs="Arial"/>
        <w:sz w:val="28"/>
        <w:szCs w:val="28"/>
      </w:rPr>
      <w:t>pecification</w:t>
    </w:r>
  </w:p>
  <w:p w:rsidR="005A38BA" w:rsidRDefault="005A38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7B71"/>
    <w:multiLevelType w:val="hybridMultilevel"/>
    <w:tmpl w:val="F14EF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012653"/>
    <w:multiLevelType w:val="hybridMultilevel"/>
    <w:tmpl w:val="FD6A4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9019E0"/>
    <w:multiLevelType w:val="hybridMultilevel"/>
    <w:tmpl w:val="997484D0"/>
    <w:lvl w:ilvl="0" w:tplc="5F000C34">
      <w:start w:val="1"/>
      <w:numFmt w:val="bullet"/>
      <w:lvlText w:val="‒"/>
      <w:lvlJc w:val="left"/>
      <w:pPr>
        <w:ind w:left="1440" w:hanging="360"/>
      </w:pPr>
      <w:rPr>
        <w:rFonts w:ascii="Calibri" w:hAnsi="Calibri" w:hint="default"/>
        <w:color w:val="FF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DAE4EB3"/>
    <w:multiLevelType w:val="hybridMultilevel"/>
    <w:tmpl w:val="64487C72"/>
    <w:lvl w:ilvl="0" w:tplc="5F000C34">
      <w:start w:val="1"/>
      <w:numFmt w:val="bullet"/>
      <w:lvlText w:val="‒"/>
      <w:lvlJc w:val="left"/>
      <w:pPr>
        <w:ind w:left="720" w:hanging="360"/>
      </w:pPr>
      <w:rPr>
        <w:rFonts w:ascii="Calibri" w:hAnsi="Calibr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9E44F7"/>
    <w:multiLevelType w:val="hybridMultilevel"/>
    <w:tmpl w:val="D938F420"/>
    <w:lvl w:ilvl="0" w:tplc="5F000C34">
      <w:start w:val="1"/>
      <w:numFmt w:val="bullet"/>
      <w:lvlText w:val="‒"/>
      <w:lvlJc w:val="left"/>
      <w:pPr>
        <w:ind w:left="720" w:hanging="360"/>
      </w:pPr>
      <w:rPr>
        <w:rFonts w:ascii="Calibri" w:hAnsi="Calibri"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F314A6"/>
    <w:multiLevelType w:val="hybridMultilevel"/>
    <w:tmpl w:val="91A6F3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C37009D"/>
    <w:multiLevelType w:val="hybridMultilevel"/>
    <w:tmpl w:val="30E8AB7A"/>
    <w:lvl w:ilvl="0" w:tplc="21C4BE9E">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E3E40D8"/>
    <w:multiLevelType w:val="hybridMultilevel"/>
    <w:tmpl w:val="B1DCC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6883D3D"/>
    <w:multiLevelType w:val="hybridMultilevel"/>
    <w:tmpl w:val="58B6B55C"/>
    <w:lvl w:ilvl="0" w:tplc="5F000C34">
      <w:start w:val="1"/>
      <w:numFmt w:val="bullet"/>
      <w:lvlText w:val="‒"/>
      <w:lvlJc w:val="left"/>
      <w:pPr>
        <w:ind w:left="720" w:hanging="360"/>
      </w:pPr>
      <w:rPr>
        <w:rFonts w:ascii="Calibri" w:hAnsi="Calibr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6CC6833"/>
    <w:multiLevelType w:val="hybridMultilevel"/>
    <w:tmpl w:val="F5B486D0"/>
    <w:lvl w:ilvl="0" w:tplc="849497F6">
      <w:start w:val="1"/>
      <w:numFmt w:val="bullet"/>
      <w:lvlText w:val=""/>
      <w:lvlJc w:val="left"/>
      <w:pPr>
        <w:ind w:left="2934" w:hanging="360"/>
      </w:pPr>
      <w:rPr>
        <w:rFonts w:ascii="Symbol" w:hAnsi="Symbol" w:hint="default"/>
        <w:color w:val="auto"/>
      </w:rPr>
    </w:lvl>
    <w:lvl w:ilvl="1" w:tplc="08090003" w:tentative="1">
      <w:start w:val="1"/>
      <w:numFmt w:val="bullet"/>
      <w:lvlText w:val="o"/>
      <w:lvlJc w:val="left"/>
      <w:pPr>
        <w:ind w:left="3654" w:hanging="360"/>
      </w:pPr>
      <w:rPr>
        <w:rFonts w:ascii="Courier New" w:hAnsi="Courier New" w:cs="Courier New" w:hint="default"/>
      </w:rPr>
    </w:lvl>
    <w:lvl w:ilvl="2" w:tplc="08090005" w:tentative="1">
      <w:start w:val="1"/>
      <w:numFmt w:val="bullet"/>
      <w:lvlText w:val=""/>
      <w:lvlJc w:val="left"/>
      <w:pPr>
        <w:ind w:left="4374" w:hanging="360"/>
      </w:pPr>
      <w:rPr>
        <w:rFonts w:ascii="Wingdings" w:hAnsi="Wingdings" w:hint="default"/>
      </w:rPr>
    </w:lvl>
    <w:lvl w:ilvl="3" w:tplc="08090001" w:tentative="1">
      <w:start w:val="1"/>
      <w:numFmt w:val="bullet"/>
      <w:lvlText w:val=""/>
      <w:lvlJc w:val="left"/>
      <w:pPr>
        <w:ind w:left="5094" w:hanging="360"/>
      </w:pPr>
      <w:rPr>
        <w:rFonts w:ascii="Symbol" w:hAnsi="Symbol" w:hint="default"/>
      </w:rPr>
    </w:lvl>
    <w:lvl w:ilvl="4" w:tplc="08090003" w:tentative="1">
      <w:start w:val="1"/>
      <w:numFmt w:val="bullet"/>
      <w:lvlText w:val="o"/>
      <w:lvlJc w:val="left"/>
      <w:pPr>
        <w:ind w:left="5814" w:hanging="360"/>
      </w:pPr>
      <w:rPr>
        <w:rFonts w:ascii="Courier New" w:hAnsi="Courier New" w:cs="Courier New" w:hint="default"/>
      </w:rPr>
    </w:lvl>
    <w:lvl w:ilvl="5" w:tplc="08090005" w:tentative="1">
      <w:start w:val="1"/>
      <w:numFmt w:val="bullet"/>
      <w:lvlText w:val=""/>
      <w:lvlJc w:val="left"/>
      <w:pPr>
        <w:ind w:left="6534" w:hanging="360"/>
      </w:pPr>
      <w:rPr>
        <w:rFonts w:ascii="Wingdings" w:hAnsi="Wingdings" w:hint="default"/>
      </w:rPr>
    </w:lvl>
    <w:lvl w:ilvl="6" w:tplc="08090001" w:tentative="1">
      <w:start w:val="1"/>
      <w:numFmt w:val="bullet"/>
      <w:lvlText w:val=""/>
      <w:lvlJc w:val="left"/>
      <w:pPr>
        <w:ind w:left="7254" w:hanging="360"/>
      </w:pPr>
      <w:rPr>
        <w:rFonts w:ascii="Symbol" w:hAnsi="Symbol" w:hint="default"/>
      </w:rPr>
    </w:lvl>
    <w:lvl w:ilvl="7" w:tplc="08090003" w:tentative="1">
      <w:start w:val="1"/>
      <w:numFmt w:val="bullet"/>
      <w:lvlText w:val="o"/>
      <w:lvlJc w:val="left"/>
      <w:pPr>
        <w:ind w:left="7974" w:hanging="360"/>
      </w:pPr>
      <w:rPr>
        <w:rFonts w:ascii="Courier New" w:hAnsi="Courier New" w:cs="Courier New" w:hint="default"/>
      </w:rPr>
    </w:lvl>
    <w:lvl w:ilvl="8" w:tplc="08090005" w:tentative="1">
      <w:start w:val="1"/>
      <w:numFmt w:val="bullet"/>
      <w:lvlText w:val=""/>
      <w:lvlJc w:val="left"/>
      <w:pPr>
        <w:ind w:left="8694" w:hanging="360"/>
      </w:pPr>
      <w:rPr>
        <w:rFonts w:ascii="Wingdings" w:hAnsi="Wingdings" w:hint="default"/>
      </w:rPr>
    </w:lvl>
  </w:abstractNum>
  <w:abstractNum w:abstractNumId="10">
    <w:nsid w:val="431E17AA"/>
    <w:multiLevelType w:val="hybridMultilevel"/>
    <w:tmpl w:val="26F277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5A17507"/>
    <w:multiLevelType w:val="hybridMultilevel"/>
    <w:tmpl w:val="92682EB0"/>
    <w:lvl w:ilvl="0" w:tplc="0809000F">
      <w:start w:val="1"/>
      <w:numFmt w:val="decimal"/>
      <w:lvlText w:val="%1."/>
      <w:lvlJc w:val="left"/>
      <w:pPr>
        <w:ind w:left="783" w:hanging="360"/>
      </w:p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12">
    <w:nsid w:val="45E4050B"/>
    <w:multiLevelType w:val="hybridMultilevel"/>
    <w:tmpl w:val="579A03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0AC20D3"/>
    <w:multiLevelType w:val="hybridMultilevel"/>
    <w:tmpl w:val="13E22724"/>
    <w:lvl w:ilvl="0" w:tplc="12D4ACB2">
      <w:start w:val="1"/>
      <w:numFmt w:val="bullet"/>
      <w:lvlText w:val=""/>
      <w:lvlJc w:val="left"/>
      <w:pPr>
        <w:ind w:left="1080" w:hanging="360"/>
      </w:pPr>
      <w:rPr>
        <w:rFonts w:ascii="Symbol" w:hAnsi="Symbol" w:hint="default"/>
        <w:color w:val="548DD4" w:themeColor="text2" w:themeTint="99"/>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55F028C9"/>
    <w:multiLevelType w:val="hybridMultilevel"/>
    <w:tmpl w:val="CEA62EF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nsid w:val="5CB30F4D"/>
    <w:multiLevelType w:val="hybridMultilevel"/>
    <w:tmpl w:val="7AA45EB2"/>
    <w:lvl w:ilvl="0" w:tplc="5F000C34">
      <w:start w:val="1"/>
      <w:numFmt w:val="bullet"/>
      <w:lvlText w:val="‒"/>
      <w:lvlJc w:val="left"/>
      <w:pPr>
        <w:ind w:left="720" w:hanging="360"/>
      </w:pPr>
      <w:rPr>
        <w:rFonts w:ascii="Calibri" w:hAnsi="Calibr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0601AB2"/>
    <w:multiLevelType w:val="hybridMultilevel"/>
    <w:tmpl w:val="F35CC814"/>
    <w:lvl w:ilvl="0" w:tplc="50BA52C2">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638C3564"/>
    <w:multiLevelType w:val="hybridMultilevel"/>
    <w:tmpl w:val="00E0FD9C"/>
    <w:lvl w:ilvl="0" w:tplc="5F000C34">
      <w:start w:val="1"/>
      <w:numFmt w:val="bullet"/>
      <w:lvlText w:val="‒"/>
      <w:lvlJc w:val="left"/>
      <w:pPr>
        <w:ind w:left="720" w:hanging="360"/>
      </w:pPr>
      <w:rPr>
        <w:rFonts w:ascii="Calibri" w:hAnsi="Calibri"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3F84783"/>
    <w:multiLevelType w:val="hybridMultilevel"/>
    <w:tmpl w:val="7B060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7746996"/>
    <w:multiLevelType w:val="hybridMultilevel"/>
    <w:tmpl w:val="BFF49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8F22889"/>
    <w:multiLevelType w:val="hybridMultilevel"/>
    <w:tmpl w:val="1A1C0A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nsid w:val="7CA945DD"/>
    <w:multiLevelType w:val="hybridMultilevel"/>
    <w:tmpl w:val="6ACA2F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8"/>
  </w:num>
  <w:num w:numId="2">
    <w:abstractNumId w:val="14"/>
  </w:num>
  <w:num w:numId="3">
    <w:abstractNumId w:val="20"/>
  </w:num>
  <w:num w:numId="4">
    <w:abstractNumId w:val="1"/>
  </w:num>
  <w:num w:numId="5">
    <w:abstractNumId w:val="5"/>
  </w:num>
  <w:num w:numId="6">
    <w:abstractNumId w:val="13"/>
  </w:num>
  <w:num w:numId="7">
    <w:abstractNumId w:val="6"/>
  </w:num>
  <w:num w:numId="8">
    <w:abstractNumId w:val="15"/>
  </w:num>
  <w:num w:numId="9">
    <w:abstractNumId w:val="8"/>
  </w:num>
  <w:num w:numId="10">
    <w:abstractNumId w:val="4"/>
  </w:num>
  <w:num w:numId="11">
    <w:abstractNumId w:val="2"/>
  </w:num>
  <w:num w:numId="12">
    <w:abstractNumId w:val="9"/>
  </w:num>
  <w:num w:numId="13">
    <w:abstractNumId w:val="21"/>
  </w:num>
  <w:num w:numId="14">
    <w:abstractNumId w:val="3"/>
  </w:num>
  <w:num w:numId="15">
    <w:abstractNumId w:val="11"/>
  </w:num>
  <w:num w:numId="16">
    <w:abstractNumId w:val="17"/>
  </w:num>
  <w:num w:numId="17">
    <w:abstractNumId w:val="0"/>
  </w:num>
  <w:num w:numId="18">
    <w:abstractNumId w:val="16"/>
  </w:num>
  <w:num w:numId="19">
    <w:abstractNumId w:val="19"/>
  </w:num>
  <w:num w:numId="20">
    <w:abstractNumId w:val="7"/>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AC4"/>
    <w:rsid w:val="00030EC8"/>
    <w:rsid w:val="000C0379"/>
    <w:rsid w:val="000E6007"/>
    <w:rsid w:val="00131492"/>
    <w:rsid w:val="0016302B"/>
    <w:rsid w:val="001A2467"/>
    <w:rsid w:val="001D2B33"/>
    <w:rsid w:val="001E34BD"/>
    <w:rsid w:val="0029051B"/>
    <w:rsid w:val="002D4CF2"/>
    <w:rsid w:val="002D77BF"/>
    <w:rsid w:val="00302093"/>
    <w:rsid w:val="00401588"/>
    <w:rsid w:val="00447DD9"/>
    <w:rsid w:val="00465845"/>
    <w:rsid w:val="004E60BD"/>
    <w:rsid w:val="00505EF5"/>
    <w:rsid w:val="00506AC4"/>
    <w:rsid w:val="005426FB"/>
    <w:rsid w:val="0054717F"/>
    <w:rsid w:val="005A38BA"/>
    <w:rsid w:val="005D3F32"/>
    <w:rsid w:val="005E2006"/>
    <w:rsid w:val="00622BE9"/>
    <w:rsid w:val="006A5355"/>
    <w:rsid w:val="00703419"/>
    <w:rsid w:val="00793540"/>
    <w:rsid w:val="008240DB"/>
    <w:rsid w:val="00871604"/>
    <w:rsid w:val="008B6D9A"/>
    <w:rsid w:val="008E7103"/>
    <w:rsid w:val="00953B93"/>
    <w:rsid w:val="009C6BAD"/>
    <w:rsid w:val="009C6C53"/>
    <w:rsid w:val="009D2925"/>
    <w:rsid w:val="00A622E8"/>
    <w:rsid w:val="00A63999"/>
    <w:rsid w:val="00A82F24"/>
    <w:rsid w:val="00AD0A8D"/>
    <w:rsid w:val="00AD5ED9"/>
    <w:rsid w:val="00B73B97"/>
    <w:rsid w:val="00BC7CDB"/>
    <w:rsid w:val="00BE09BD"/>
    <w:rsid w:val="00BF7879"/>
    <w:rsid w:val="00C07195"/>
    <w:rsid w:val="00C16926"/>
    <w:rsid w:val="00CD2377"/>
    <w:rsid w:val="00CF24ED"/>
    <w:rsid w:val="00D36663"/>
    <w:rsid w:val="00D449EF"/>
    <w:rsid w:val="00D60F31"/>
    <w:rsid w:val="00DA53F7"/>
    <w:rsid w:val="00DC49B1"/>
    <w:rsid w:val="00DF6907"/>
    <w:rsid w:val="00E31281"/>
    <w:rsid w:val="00E31AA4"/>
    <w:rsid w:val="00E37FF8"/>
    <w:rsid w:val="00E65B6E"/>
    <w:rsid w:val="00E81A03"/>
    <w:rsid w:val="00E9245A"/>
    <w:rsid w:val="00E92AC0"/>
    <w:rsid w:val="00E93D3F"/>
    <w:rsid w:val="00EA1719"/>
    <w:rsid w:val="00EA3B48"/>
    <w:rsid w:val="00F104E1"/>
    <w:rsid w:val="00F331ED"/>
    <w:rsid w:val="00F37616"/>
    <w:rsid w:val="00F47AC4"/>
    <w:rsid w:val="00F625EB"/>
    <w:rsid w:val="00FD0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093"/>
    <w:pPr>
      <w:ind w:left="720"/>
      <w:contextualSpacing/>
    </w:pPr>
  </w:style>
  <w:style w:type="paragraph" w:styleId="BalloonText">
    <w:name w:val="Balloon Text"/>
    <w:basedOn w:val="Normal"/>
    <w:link w:val="BalloonTextChar"/>
    <w:uiPriority w:val="99"/>
    <w:semiHidden/>
    <w:unhideWhenUsed/>
    <w:rsid w:val="00505E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EF5"/>
    <w:rPr>
      <w:rFonts w:ascii="Tahoma" w:hAnsi="Tahoma" w:cs="Tahoma"/>
      <w:sz w:val="16"/>
      <w:szCs w:val="16"/>
    </w:rPr>
  </w:style>
  <w:style w:type="paragraph" w:styleId="Header">
    <w:name w:val="header"/>
    <w:basedOn w:val="Normal"/>
    <w:link w:val="HeaderChar"/>
    <w:uiPriority w:val="99"/>
    <w:unhideWhenUsed/>
    <w:rsid w:val="00505E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EF5"/>
  </w:style>
  <w:style w:type="paragraph" w:styleId="Footer">
    <w:name w:val="footer"/>
    <w:basedOn w:val="Normal"/>
    <w:link w:val="FooterChar"/>
    <w:uiPriority w:val="99"/>
    <w:unhideWhenUsed/>
    <w:rsid w:val="00505E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EF5"/>
  </w:style>
  <w:style w:type="table" w:styleId="TableGrid">
    <w:name w:val="Table Grid"/>
    <w:basedOn w:val="TableNormal"/>
    <w:uiPriority w:val="59"/>
    <w:rsid w:val="005D3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331ED"/>
    <w:rPr>
      <w:color w:val="0000FF"/>
      <w:u w:val="single"/>
    </w:rPr>
  </w:style>
  <w:style w:type="paragraph" w:styleId="NormalWeb">
    <w:name w:val="Normal (Web)"/>
    <w:basedOn w:val="Normal"/>
    <w:uiPriority w:val="99"/>
    <w:rsid w:val="00F331ED"/>
    <w:pPr>
      <w:spacing w:before="100" w:beforeAutospacing="1" w:after="100" w:afterAutospacing="1" w:line="240" w:lineRule="auto"/>
    </w:pPr>
    <w:rPr>
      <w:rFonts w:ascii="Arial Unicode MS" w:eastAsia="Arial Unicode MS" w:hAnsi="Arial Unicode MS" w:cs="Arial Unicode MS"/>
      <w:color w:val="000066"/>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093"/>
    <w:pPr>
      <w:ind w:left="720"/>
      <w:contextualSpacing/>
    </w:pPr>
  </w:style>
  <w:style w:type="paragraph" w:styleId="BalloonText">
    <w:name w:val="Balloon Text"/>
    <w:basedOn w:val="Normal"/>
    <w:link w:val="BalloonTextChar"/>
    <w:uiPriority w:val="99"/>
    <w:semiHidden/>
    <w:unhideWhenUsed/>
    <w:rsid w:val="00505E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EF5"/>
    <w:rPr>
      <w:rFonts w:ascii="Tahoma" w:hAnsi="Tahoma" w:cs="Tahoma"/>
      <w:sz w:val="16"/>
      <w:szCs w:val="16"/>
    </w:rPr>
  </w:style>
  <w:style w:type="paragraph" w:styleId="Header">
    <w:name w:val="header"/>
    <w:basedOn w:val="Normal"/>
    <w:link w:val="HeaderChar"/>
    <w:uiPriority w:val="99"/>
    <w:unhideWhenUsed/>
    <w:rsid w:val="00505E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EF5"/>
  </w:style>
  <w:style w:type="paragraph" w:styleId="Footer">
    <w:name w:val="footer"/>
    <w:basedOn w:val="Normal"/>
    <w:link w:val="FooterChar"/>
    <w:uiPriority w:val="99"/>
    <w:unhideWhenUsed/>
    <w:rsid w:val="00505E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EF5"/>
  </w:style>
  <w:style w:type="table" w:styleId="TableGrid">
    <w:name w:val="Table Grid"/>
    <w:basedOn w:val="TableNormal"/>
    <w:uiPriority w:val="59"/>
    <w:rsid w:val="005D3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331ED"/>
    <w:rPr>
      <w:color w:val="0000FF"/>
      <w:u w:val="single"/>
    </w:rPr>
  </w:style>
  <w:style w:type="paragraph" w:styleId="NormalWeb">
    <w:name w:val="Normal (Web)"/>
    <w:basedOn w:val="Normal"/>
    <w:uiPriority w:val="99"/>
    <w:rsid w:val="00F331ED"/>
    <w:pPr>
      <w:spacing w:before="100" w:beforeAutospacing="1" w:after="100" w:afterAutospacing="1" w:line="240" w:lineRule="auto"/>
    </w:pPr>
    <w:rPr>
      <w:rFonts w:ascii="Arial Unicode MS" w:eastAsia="Arial Unicode MS" w:hAnsi="Arial Unicode MS" w:cs="Arial Unicode MS"/>
      <w:color w:val="00006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320737">
      <w:bodyDiv w:val="1"/>
      <w:marLeft w:val="0"/>
      <w:marRight w:val="0"/>
      <w:marTop w:val="0"/>
      <w:marBottom w:val="0"/>
      <w:divBdr>
        <w:top w:val="none" w:sz="0" w:space="0" w:color="auto"/>
        <w:left w:val="none" w:sz="0" w:space="0" w:color="auto"/>
        <w:bottom w:val="none" w:sz="0" w:space="0" w:color="auto"/>
        <w:right w:val="none" w:sz="0" w:space="0" w:color="auto"/>
      </w:divBdr>
    </w:div>
    <w:div w:id="149765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cu.ac.uk/sustainability/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bsigroup.com/en/ProductDetail/?pid=000000000030122880" TargetMode="External"/><Relationship Id="rId5" Type="http://schemas.openxmlformats.org/officeDocument/2006/relationships/settings" Target="settings.xml"/><Relationship Id="rId10" Type="http://schemas.openxmlformats.org/officeDocument/2006/relationships/hyperlink" Target="http://shop.bsigroup.com/en/ProductDetail/?pid=000000000030158436&amp;t=ca"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4660F-2872-4D6D-BE17-05A94AEC5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2453</Words>
  <Characters>13985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GCU</Company>
  <LinksUpToDate>false</LinksUpToDate>
  <CharactersWithSpaces>16406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8</cp:revision>
  <cp:lastPrinted>2014-07-14T10:27:00Z</cp:lastPrinted>
  <dcterms:created xsi:type="dcterms:W3CDTF">2014-07-17T10:03:00Z</dcterms:created>
  <dcterms:modified xsi:type="dcterms:W3CDTF">2015-03-13T16:25:00Z</dcterms:modified>
</cp:coreProperties>
</file>