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1B1" w:rsidRDefault="00B4166A" w:rsidP="000141B1">
      <w:pPr>
        <w:jc w:val="right"/>
        <w:rPr>
          <w:rFonts w:ascii="Arial" w:hAnsi="Arial" w:cs="Arial"/>
          <w:sz w:val="36"/>
        </w:rPr>
      </w:pPr>
      <w:r>
        <w:rPr>
          <w:rFonts w:ascii="Arial" w:hAnsi="Arial"/>
          <w:noProof/>
          <w:sz w:val="28"/>
          <w:lang w:val="en-GB" w:eastAsia="en-GB"/>
        </w:rPr>
        <w:drawing>
          <wp:inline distT="0" distB="0" distL="0" distR="0">
            <wp:extent cx="1123950" cy="638175"/>
            <wp:effectExtent l="0" t="0" r="0" b="952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Pr="00334C95" w:rsidRDefault="00705E38" w:rsidP="000141B1">
      <w:pPr>
        <w:jc w:val="center"/>
        <w:rPr>
          <w:rFonts w:ascii="Arial" w:hAnsi="Arial" w:cs="Arial"/>
          <w:b/>
          <w:sz w:val="56"/>
          <w:szCs w:val="56"/>
        </w:rPr>
      </w:pPr>
      <w:r>
        <w:rPr>
          <w:rFonts w:ascii="Arial" w:hAnsi="Arial" w:cs="Arial"/>
          <w:b/>
          <w:sz w:val="56"/>
          <w:szCs w:val="56"/>
        </w:rPr>
        <w:t>E</w:t>
      </w:r>
      <w:r w:rsidR="00E82320">
        <w:rPr>
          <w:rFonts w:ascii="Arial" w:hAnsi="Arial" w:cs="Arial"/>
          <w:b/>
          <w:sz w:val="56"/>
          <w:szCs w:val="56"/>
        </w:rPr>
        <w:t>valuat</w:t>
      </w:r>
      <w:r>
        <w:rPr>
          <w:rFonts w:ascii="Arial" w:hAnsi="Arial" w:cs="Arial"/>
          <w:b/>
          <w:sz w:val="56"/>
          <w:szCs w:val="56"/>
        </w:rPr>
        <w:t xml:space="preserve">ing </w:t>
      </w:r>
      <w:r w:rsidR="00E82320">
        <w:rPr>
          <w:rFonts w:ascii="Arial" w:hAnsi="Arial" w:cs="Arial"/>
          <w:b/>
          <w:sz w:val="56"/>
          <w:szCs w:val="56"/>
        </w:rPr>
        <w:t xml:space="preserve">a </w:t>
      </w:r>
      <w:r w:rsidR="000C0913">
        <w:rPr>
          <w:rFonts w:ascii="Arial" w:hAnsi="Arial" w:cs="Arial"/>
          <w:b/>
          <w:sz w:val="56"/>
          <w:szCs w:val="56"/>
        </w:rPr>
        <w:t>T</w:t>
      </w:r>
      <w:r w:rsidR="00E82320">
        <w:rPr>
          <w:rFonts w:ascii="Arial" w:hAnsi="Arial" w:cs="Arial"/>
          <w:b/>
          <w:sz w:val="56"/>
          <w:szCs w:val="56"/>
        </w:rPr>
        <w:t>ender</w:t>
      </w: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0141B1" w:rsidRDefault="000141B1" w:rsidP="000141B1">
      <w:pPr>
        <w:rPr>
          <w:rFonts w:ascii="Arial" w:hAnsi="Arial" w:cs="Arial"/>
          <w:sz w:val="36"/>
        </w:rPr>
      </w:pPr>
    </w:p>
    <w:p w:rsidR="00B560C8" w:rsidRPr="00B560C8" w:rsidRDefault="00B560C8" w:rsidP="00B560C8">
      <w:pPr>
        <w:shd w:val="clear" w:color="auto" w:fill="FFFFFF"/>
        <w:spacing w:before="120" w:after="120" w:line="288" w:lineRule="auto"/>
        <w:jc w:val="both"/>
        <w:rPr>
          <w:rFonts w:ascii="Arial" w:eastAsia="Times New Roman" w:hAnsi="Arial" w:cs="Arial"/>
          <w:b/>
          <w:color w:val="000000"/>
          <w:lang w:val="en-GB"/>
        </w:rPr>
      </w:pPr>
      <w:r w:rsidRPr="00B560C8">
        <w:rPr>
          <w:rFonts w:ascii="Arial" w:eastAsia="Times New Roman" w:hAnsi="Arial" w:cs="Arial"/>
          <w:b/>
          <w:color w:val="000000"/>
          <w:lang w:val="en-GB"/>
        </w:rPr>
        <w:lastRenderedPageBreak/>
        <w:t xml:space="preserve">Introduction </w:t>
      </w:r>
    </w:p>
    <w:p w:rsidR="00C92A27" w:rsidRDefault="00C92A27" w:rsidP="00B560C8">
      <w:pPr>
        <w:shd w:val="clear" w:color="auto" w:fill="FFFFFF"/>
        <w:spacing w:before="120" w:after="120" w:line="288" w:lineRule="auto"/>
        <w:jc w:val="both"/>
        <w:rPr>
          <w:rFonts w:ascii="Arial" w:eastAsia="Times New Roman" w:hAnsi="Arial" w:cs="Arial"/>
          <w:color w:val="000000"/>
          <w:lang w:val="en-GB"/>
        </w:rPr>
      </w:pPr>
      <w:r>
        <w:rPr>
          <w:rFonts w:ascii="Arial" w:eastAsia="Times New Roman" w:hAnsi="Arial" w:cs="Arial"/>
          <w:color w:val="000000"/>
          <w:lang w:val="en-GB"/>
        </w:rPr>
        <w:t>A tender evaluation shall consist of a commercial and technical assessment.</w:t>
      </w:r>
    </w:p>
    <w:p w:rsidR="00C92A27" w:rsidRDefault="00C92A27" w:rsidP="00B560C8">
      <w:pPr>
        <w:shd w:val="clear" w:color="auto" w:fill="FFFFFF"/>
        <w:spacing w:before="120" w:after="120" w:line="288" w:lineRule="auto"/>
        <w:jc w:val="both"/>
        <w:rPr>
          <w:rFonts w:ascii="Arial" w:eastAsia="Times New Roman" w:hAnsi="Arial" w:cs="Arial"/>
          <w:color w:val="000000"/>
          <w:lang w:val="en-GB"/>
        </w:rPr>
      </w:pPr>
      <w:r>
        <w:rPr>
          <w:rFonts w:ascii="Arial" w:eastAsia="Times New Roman" w:hAnsi="Arial" w:cs="Arial"/>
          <w:color w:val="000000"/>
          <w:lang w:val="en-GB"/>
        </w:rPr>
        <w:t xml:space="preserve">The commercial assessment is carried out </w:t>
      </w:r>
      <w:r w:rsidR="00C01C43">
        <w:rPr>
          <w:rFonts w:ascii="Arial" w:eastAsia="Times New Roman" w:hAnsi="Arial" w:cs="Arial"/>
          <w:color w:val="000000"/>
          <w:lang w:val="en-GB"/>
        </w:rPr>
        <w:t>by Procurement using</w:t>
      </w:r>
      <w:r>
        <w:rPr>
          <w:rFonts w:ascii="Arial" w:eastAsia="Times New Roman" w:hAnsi="Arial" w:cs="Arial"/>
          <w:color w:val="000000"/>
          <w:lang w:val="en-GB"/>
        </w:rPr>
        <w:t xml:space="preserve"> an arithmetical calculation.  </w:t>
      </w:r>
    </w:p>
    <w:p w:rsidR="000610EC" w:rsidRPr="000610EC" w:rsidRDefault="00C92A27" w:rsidP="00B560C8">
      <w:pPr>
        <w:shd w:val="clear" w:color="auto" w:fill="FFFFFF"/>
        <w:spacing w:before="120" w:after="120" w:line="288" w:lineRule="auto"/>
        <w:jc w:val="both"/>
        <w:rPr>
          <w:rFonts w:ascii="Arial" w:eastAsia="Times New Roman" w:hAnsi="Arial" w:cs="Arial"/>
          <w:color w:val="000000"/>
          <w:lang w:val="en-GB"/>
        </w:rPr>
      </w:pPr>
      <w:r>
        <w:rPr>
          <w:rFonts w:ascii="Arial" w:eastAsia="Times New Roman" w:hAnsi="Arial" w:cs="Arial"/>
          <w:color w:val="000000"/>
          <w:lang w:val="en-GB"/>
        </w:rPr>
        <w:t>The t</w:t>
      </w:r>
      <w:r w:rsidR="000610EC" w:rsidRPr="000610EC">
        <w:rPr>
          <w:rFonts w:ascii="Arial" w:eastAsia="Times New Roman" w:hAnsi="Arial" w:cs="Arial"/>
          <w:color w:val="000000"/>
          <w:lang w:val="en-GB"/>
        </w:rPr>
        <w:t xml:space="preserve">echnical evaluation is </w:t>
      </w:r>
      <w:r>
        <w:rPr>
          <w:rFonts w:ascii="Arial" w:eastAsia="Times New Roman" w:hAnsi="Arial" w:cs="Arial"/>
          <w:color w:val="000000"/>
          <w:lang w:val="en-GB"/>
        </w:rPr>
        <w:t xml:space="preserve">carried out by </w:t>
      </w:r>
      <w:r w:rsidR="00C01C43">
        <w:rPr>
          <w:rFonts w:ascii="Arial" w:eastAsia="Times New Roman" w:hAnsi="Arial" w:cs="Arial"/>
          <w:color w:val="000000"/>
          <w:lang w:val="en-GB"/>
        </w:rPr>
        <w:t>a tender evaluation panel who shall score the</w:t>
      </w:r>
      <w:r>
        <w:rPr>
          <w:rFonts w:ascii="Arial" w:eastAsia="Times New Roman" w:hAnsi="Arial" w:cs="Arial"/>
          <w:color w:val="000000"/>
          <w:lang w:val="en-GB"/>
        </w:rPr>
        <w:t xml:space="preserve"> tenderer</w:t>
      </w:r>
      <w:r w:rsidR="00C01C43">
        <w:rPr>
          <w:rFonts w:ascii="Arial" w:eastAsia="Times New Roman" w:hAnsi="Arial" w:cs="Arial"/>
          <w:color w:val="000000"/>
          <w:lang w:val="en-GB"/>
        </w:rPr>
        <w:t>s</w:t>
      </w:r>
      <w:r>
        <w:rPr>
          <w:rFonts w:ascii="Arial" w:eastAsia="Times New Roman" w:hAnsi="Arial" w:cs="Arial"/>
          <w:color w:val="000000"/>
          <w:lang w:val="en-GB"/>
        </w:rPr>
        <w:t xml:space="preserve"> responses to a set of questions based on a pre-determined scoring mechanism</w:t>
      </w:r>
      <w:r w:rsidR="00C01C43">
        <w:rPr>
          <w:rFonts w:ascii="Arial" w:eastAsia="Times New Roman" w:hAnsi="Arial" w:cs="Arial"/>
          <w:color w:val="000000"/>
          <w:lang w:val="en-GB"/>
        </w:rPr>
        <w:t xml:space="preserve">. </w:t>
      </w:r>
      <w:r>
        <w:rPr>
          <w:rFonts w:ascii="Arial" w:eastAsia="Times New Roman" w:hAnsi="Arial" w:cs="Arial"/>
          <w:color w:val="000000"/>
          <w:lang w:val="en-GB"/>
        </w:rPr>
        <w:t xml:space="preserve">It is </w:t>
      </w:r>
      <w:r w:rsidR="000610EC" w:rsidRPr="000610EC">
        <w:rPr>
          <w:rFonts w:ascii="Arial" w:eastAsia="Times New Roman" w:hAnsi="Arial" w:cs="Arial"/>
          <w:color w:val="000000"/>
          <w:lang w:val="en-GB"/>
        </w:rPr>
        <w:t>one of the most important s</w:t>
      </w:r>
      <w:r w:rsidR="00010327">
        <w:rPr>
          <w:rFonts w:ascii="Arial" w:eastAsia="Times New Roman" w:hAnsi="Arial" w:cs="Arial"/>
          <w:color w:val="000000"/>
          <w:lang w:val="en-GB"/>
        </w:rPr>
        <w:t xml:space="preserve">tages of the </w:t>
      </w:r>
      <w:r w:rsidR="00A4686E">
        <w:rPr>
          <w:rFonts w:ascii="Arial" w:eastAsia="Times New Roman" w:hAnsi="Arial" w:cs="Arial"/>
          <w:color w:val="000000"/>
          <w:lang w:val="en-GB"/>
        </w:rPr>
        <w:t>procurement p</w:t>
      </w:r>
      <w:r w:rsidR="00010327">
        <w:rPr>
          <w:rFonts w:ascii="Arial" w:eastAsia="Times New Roman" w:hAnsi="Arial" w:cs="Arial"/>
          <w:color w:val="000000"/>
          <w:lang w:val="en-GB"/>
        </w:rPr>
        <w:t>rocess. This stage of the process</w:t>
      </w:r>
      <w:r w:rsidR="000610EC" w:rsidRPr="000610EC">
        <w:rPr>
          <w:rFonts w:ascii="Arial" w:eastAsia="Times New Roman" w:hAnsi="Arial" w:cs="Arial"/>
          <w:color w:val="000000"/>
          <w:lang w:val="en-GB"/>
        </w:rPr>
        <w:t xml:space="preserve"> ensures that:</w:t>
      </w:r>
    </w:p>
    <w:p w:rsidR="000610EC" w:rsidRPr="000B7155" w:rsidRDefault="000610EC" w:rsidP="000B7155">
      <w:pPr>
        <w:pStyle w:val="ListParagraph"/>
        <w:numPr>
          <w:ilvl w:val="0"/>
          <w:numId w:val="4"/>
        </w:numPr>
        <w:shd w:val="clear" w:color="auto" w:fill="FFFFFF"/>
        <w:spacing w:before="120" w:after="120" w:line="288" w:lineRule="auto"/>
        <w:jc w:val="both"/>
        <w:rPr>
          <w:rFonts w:ascii="Arial" w:eastAsia="Times New Roman" w:hAnsi="Arial" w:cs="Arial"/>
          <w:color w:val="000000"/>
          <w:lang w:val="en-GB"/>
        </w:rPr>
      </w:pPr>
      <w:r w:rsidRPr="000B7155">
        <w:rPr>
          <w:rFonts w:ascii="Arial" w:eastAsia="Times New Roman" w:hAnsi="Arial" w:cs="Arial"/>
          <w:color w:val="000000"/>
          <w:lang w:val="en-GB"/>
        </w:rPr>
        <w:t xml:space="preserve">The contract award decision is objective </w:t>
      </w:r>
    </w:p>
    <w:p w:rsidR="000610EC" w:rsidRPr="000B7155" w:rsidRDefault="00C92A27" w:rsidP="000B7155">
      <w:pPr>
        <w:pStyle w:val="ListParagraph"/>
        <w:numPr>
          <w:ilvl w:val="0"/>
          <w:numId w:val="4"/>
        </w:numPr>
        <w:shd w:val="clear" w:color="auto" w:fill="FFFFFF"/>
        <w:spacing w:before="120" w:after="120" w:line="288" w:lineRule="auto"/>
        <w:jc w:val="both"/>
        <w:rPr>
          <w:rFonts w:ascii="Arial" w:eastAsia="Times New Roman" w:hAnsi="Arial" w:cs="Arial"/>
          <w:color w:val="000000"/>
          <w:lang w:val="en-GB"/>
        </w:rPr>
      </w:pPr>
      <w:r w:rsidRPr="000B7155">
        <w:rPr>
          <w:rFonts w:ascii="Arial" w:eastAsia="Times New Roman" w:hAnsi="Arial" w:cs="Arial"/>
          <w:color w:val="000000"/>
          <w:lang w:val="en-GB"/>
        </w:rPr>
        <w:t>The decision-</w:t>
      </w:r>
      <w:r w:rsidR="000610EC" w:rsidRPr="000B7155">
        <w:rPr>
          <w:rFonts w:ascii="Arial" w:eastAsia="Times New Roman" w:hAnsi="Arial" w:cs="Arial"/>
          <w:color w:val="000000"/>
          <w:lang w:val="en-GB"/>
        </w:rPr>
        <w:t xml:space="preserve">making process is fair, transparent and auditable </w:t>
      </w:r>
    </w:p>
    <w:p w:rsidR="000610EC" w:rsidRPr="000B7155" w:rsidRDefault="000610EC" w:rsidP="000B7155">
      <w:pPr>
        <w:pStyle w:val="ListParagraph"/>
        <w:numPr>
          <w:ilvl w:val="0"/>
          <w:numId w:val="4"/>
        </w:numPr>
        <w:shd w:val="clear" w:color="auto" w:fill="FFFFFF"/>
        <w:spacing w:before="120" w:after="120" w:line="288" w:lineRule="auto"/>
        <w:jc w:val="both"/>
        <w:rPr>
          <w:rFonts w:ascii="Arial" w:eastAsia="Times New Roman" w:hAnsi="Arial" w:cs="Arial"/>
          <w:color w:val="000000"/>
          <w:lang w:val="en-GB"/>
        </w:rPr>
      </w:pPr>
      <w:r w:rsidRPr="000B7155">
        <w:rPr>
          <w:rFonts w:ascii="Arial" w:eastAsia="Times New Roman" w:hAnsi="Arial" w:cs="Arial"/>
          <w:color w:val="000000"/>
          <w:lang w:val="en-GB"/>
        </w:rPr>
        <w:t xml:space="preserve">The </w:t>
      </w:r>
      <w:r w:rsidR="00705E38" w:rsidRPr="000B7155">
        <w:rPr>
          <w:rFonts w:ascii="Arial" w:eastAsia="Times New Roman" w:hAnsi="Arial" w:cs="Arial"/>
          <w:color w:val="000000"/>
          <w:lang w:val="en-GB"/>
        </w:rPr>
        <w:t>University</w:t>
      </w:r>
      <w:r w:rsidRPr="000B7155">
        <w:rPr>
          <w:rFonts w:ascii="Arial" w:eastAsia="Times New Roman" w:hAnsi="Arial" w:cs="Arial"/>
          <w:color w:val="000000"/>
          <w:lang w:val="en-GB"/>
        </w:rPr>
        <w:t xml:space="preserve"> can demonstrate best value in the tender process </w:t>
      </w:r>
    </w:p>
    <w:p w:rsidR="000610EC" w:rsidRPr="00DA65D5" w:rsidRDefault="000610EC" w:rsidP="00B560C8">
      <w:pPr>
        <w:shd w:val="clear" w:color="auto" w:fill="FFFFFF"/>
        <w:spacing w:before="120" w:after="120" w:line="288" w:lineRule="auto"/>
        <w:jc w:val="both"/>
        <w:rPr>
          <w:rFonts w:ascii="Arial" w:eastAsia="Times New Roman" w:hAnsi="Arial" w:cs="Arial"/>
          <w:color w:val="000000"/>
          <w:lang w:val="en-GB"/>
        </w:rPr>
      </w:pPr>
      <w:r w:rsidRPr="000610EC">
        <w:rPr>
          <w:rFonts w:ascii="Arial" w:eastAsia="Times New Roman" w:hAnsi="Arial" w:cs="Arial"/>
          <w:color w:val="000000"/>
          <w:lang w:val="en-GB"/>
        </w:rPr>
        <w:t>An evaluation panel of at least two people should be established and consist of individuals with</w:t>
      </w:r>
      <w:r w:rsidR="00705E38">
        <w:rPr>
          <w:rFonts w:ascii="Arial" w:eastAsia="Times New Roman" w:hAnsi="Arial" w:cs="Arial"/>
          <w:color w:val="000000"/>
          <w:lang w:val="en-GB"/>
        </w:rPr>
        <w:t xml:space="preserve"> the </w:t>
      </w:r>
      <w:r w:rsidRPr="000610EC">
        <w:rPr>
          <w:rFonts w:ascii="Arial" w:eastAsia="Times New Roman" w:hAnsi="Arial" w:cs="Arial"/>
          <w:color w:val="000000"/>
          <w:lang w:val="en-GB"/>
        </w:rPr>
        <w:t xml:space="preserve">technical </w:t>
      </w:r>
      <w:r w:rsidR="00705E38">
        <w:rPr>
          <w:rFonts w:ascii="Arial" w:eastAsia="Times New Roman" w:hAnsi="Arial" w:cs="Arial"/>
          <w:color w:val="000000"/>
          <w:lang w:val="en-GB"/>
        </w:rPr>
        <w:t xml:space="preserve">knowledge of the procurement </w:t>
      </w:r>
      <w:r w:rsidRPr="000610EC">
        <w:rPr>
          <w:rFonts w:ascii="Arial" w:eastAsia="Times New Roman" w:hAnsi="Arial" w:cs="Arial"/>
          <w:color w:val="000000"/>
          <w:lang w:val="en-GB"/>
        </w:rPr>
        <w:t>to evaluate tenders</w:t>
      </w:r>
      <w:r w:rsidR="00705E38">
        <w:rPr>
          <w:rFonts w:ascii="Arial" w:eastAsia="Times New Roman" w:hAnsi="Arial" w:cs="Arial"/>
          <w:color w:val="000000"/>
          <w:lang w:val="en-GB"/>
        </w:rPr>
        <w:t xml:space="preserve">.  The evaluation panel </w:t>
      </w:r>
      <w:r w:rsidRPr="000610EC">
        <w:rPr>
          <w:rFonts w:ascii="Arial" w:eastAsia="Times New Roman" w:hAnsi="Arial" w:cs="Arial"/>
          <w:color w:val="000000"/>
          <w:lang w:val="en-GB"/>
        </w:rPr>
        <w:t xml:space="preserve">membership </w:t>
      </w:r>
      <w:r w:rsidR="00705E38">
        <w:rPr>
          <w:rFonts w:ascii="Arial" w:eastAsia="Times New Roman" w:hAnsi="Arial" w:cs="Arial"/>
          <w:color w:val="000000"/>
          <w:lang w:val="en-GB"/>
        </w:rPr>
        <w:t xml:space="preserve">should </w:t>
      </w:r>
      <w:r w:rsidRPr="000610EC">
        <w:rPr>
          <w:rFonts w:ascii="Arial" w:eastAsia="Times New Roman" w:hAnsi="Arial" w:cs="Arial"/>
          <w:color w:val="000000"/>
          <w:lang w:val="en-GB"/>
        </w:rPr>
        <w:t xml:space="preserve">be consistent throughout the entire </w:t>
      </w:r>
      <w:r w:rsidR="00705E38">
        <w:rPr>
          <w:rFonts w:ascii="Arial" w:eastAsia="Times New Roman" w:hAnsi="Arial" w:cs="Arial"/>
          <w:color w:val="000000"/>
          <w:lang w:val="en-GB"/>
        </w:rPr>
        <w:t xml:space="preserve">evaluation </w:t>
      </w:r>
      <w:r w:rsidRPr="000610EC">
        <w:rPr>
          <w:rFonts w:ascii="Arial" w:eastAsia="Times New Roman" w:hAnsi="Arial" w:cs="Arial"/>
          <w:color w:val="000000"/>
          <w:lang w:val="en-GB"/>
        </w:rPr>
        <w:t>process</w:t>
      </w:r>
      <w:r w:rsidR="00705E38">
        <w:rPr>
          <w:rFonts w:ascii="Arial" w:eastAsia="Times New Roman" w:hAnsi="Arial" w:cs="Arial"/>
          <w:color w:val="000000"/>
          <w:lang w:val="en-GB"/>
        </w:rPr>
        <w:t xml:space="preserve">, </w:t>
      </w:r>
      <w:r w:rsidRPr="000610EC">
        <w:rPr>
          <w:rFonts w:ascii="Arial" w:eastAsia="Times New Roman" w:hAnsi="Arial" w:cs="Arial"/>
          <w:color w:val="000000"/>
          <w:lang w:val="en-GB"/>
        </w:rPr>
        <w:t xml:space="preserve">from pre-qualification to </w:t>
      </w:r>
      <w:r w:rsidR="009949D4">
        <w:rPr>
          <w:rFonts w:ascii="Arial" w:eastAsia="Times New Roman" w:hAnsi="Arial" w:cs="Arial"/>
          <w:color w:val="000000"/>
          <w:lang w:val="en-GB"/>
        </w:rPr>
        <w:t xml:space="preserve">any </w:t>
      </w:r>
      <w:r w:rsidR="00705E38">
        <w:rPr>
          <w:rFonts w:ascii="Arial" w:eastAsia="Times New Roman" w:hAnsi="Arial" w:cs="Arial"/>
          <w:color w:val="000000"/>
          <w:lang w:val="en-GB"/>
        </w:rPr>
        <w:t xml:space="preserve">presentations or site visits.  </w:t>
      </w:r>
      <w:r w:rsidRPr="000610EC">
        <w:rPr>
          <w:rFonts w:ascii="Arial" w:eastAsia="Times New Roman" w:hAnsi="Arial" w:cs="Arial"/>
          <w:color w:val="000000"/>
          <w:lang w:val="en-GB"/>
        </w:rPr>
        <w:t>The evaluation panel should be able to withstand any scrutiny and</w:t>
      </w:r>
      <w:r w:rsidR="00705E38">
        <w:rPr>
          <w:rFonts w:ascii="Arial" w:eastAsia="Times New Roman" w:hAnsi="Arial" w:cs="Arial"/>
          <w:color w:val="000000"/>
          <w:lang w:val="en-GB"/>
        </w:rPr>
        <w:t xml:space="preserve"> not </w:t>
      </w:r>
      <w:r w:rsidRPr="000610EC">
        <w:rPr>
          <w:rFonts w:ascii="Arial" w:eastAsia="Times New Roman" w:hAnsi="Arial" w:cs="Arial"/>
          <w:color w:val="000000"/>
          <w:lang w:val="en-GB"/>
        </w:rPr>
        <w:t>be associated in any way with any of the tendering suppliers</w:t>
      </w:r>
      <w:r w:rsidR="00705E38">
        <w:rPr>
          <w:rFonts w:ascii="Arial" w:eastAsia="Times New Roman" w:hAnsi="Arial" w:cs="Arial"/>
          <w:color w:val="000000"/>
          <w:lang w:val="en-GB"/>
        </w:rPr>
        <w:t>.  Prior to the commencement of the evaluation</w:t>
      </w:r>
      <w:r w:rsidR="00B560C8">
        <w:rPr>
          <w:rFonts w:ascii="Arial" w:eastAsia="Times New Roman" w:hAnsi="Arial" w:cs="Arial"/>
          <w:color w:val="000000"/>
          <w:lang w:val="en-GB"/>
        </w:rPr>
        <w:t>, each panel member will be required to complete the Conflict of Interest Declaration enclosed below</w:t>
      </w:r>
      <w:r w:rsidRPr="000610EC">
        <w:rPr>
          <w:rFonts w:ascii="Arial" w:eastAsia="Times New Roman" w:hAnsi="Arial" w:cs="Arial"/>
          <w:color w:val="000000"/>
          <w:lang w:val="en-GB"/>
        </w:rPr>
        <w:t>.</w:t>
      </w:r>
    </w:p>
    <w:p w:rsidR="001B1D2F" w:rsidRDefault="00D179E1" w:rsidP="00C119B9">
      <w:pPr>
        <w:shd w:val="clear" w:color="auto" w:fill="FFFFFF"/>
        <w:spacing w:before="120" w:after="240" w:line="288" w:lineRule="auto"/>
        <w:jc w:val="both"/>
        <w:rPr>
          <w:rFonts w:ascii="Arial" w:eastAsia="Times New Roman" w:hAnsi="Arial" w:cs="Arial"/>
          <w:color w:val="000000"/>
          <w:lang w:val="en-GB"/>
        </w:rPr>
      </w:pPr>
      <w:hyperlink r:id="rId9" w:history="1">
        <w:r w:rsidR="001B78BA" w:rsidRPr="00AD2CCA">
          <w:rPr>
            <w:rStyle w:val="Hyperlink"/>
            <w:rFonts w:ascii="Arial" w:eastAsia="Times New Roman" w:hAnsi="Arial" w:cs="Arial"/>
            <w:lang w:val="en-GB"/>
          </w:rPr>
          <w:t>Conflict of Interest Declaration Form</w:t>
        </w:r>
        <w:r w:rsidR="00AD2CCA" w:rsidRPr="00AD2CCA">
          <w:rPr>
            <w:rStyle w:val="Hyperlink"/>
            <w:rFonts w:ascii="Arial" w:eastAsia="Times New Roman" w:hAnsi="Arial" w:cs="Arial"/>
            <w:lang w:val="en-GB"/>
          </w:rPr>
          <w:t xml:space="preserve"> 2023</w:t>
        </w:r>
      </w:hyperlink>
      <w:r w:rsidR="007804EC">
        <w:rPr>
          <w:rFonts w:ascii="Arial" w:eastAsia="Times New Roman" w:hAnsi="Arial" w:cs="Arial"/>
          <w:lang w:val="en-GB"/>
        </w:rPr>
        <w:t xml:space="preserve"> </w:t>
      </w:r>
    </w:p>
    <w:p w:rsidR="00C119B9" w:rsidRPr="000610EC" w:rsidRDefault="00C119B9" w:rsidP="00C119B9">
      <w:pPr>
        <w:shd w:val="clear" w:color="auto" w:fill="FFFFFF"/>
        <w:spacing w:before="120" w:after="240" w:line="288" w:lineRule="auto"/>
        <w:jc w:val="both"/>
        <w:rPr>
          <w:rFonts w:ascii="Arial" w:eastAsia="Times New Roman" w:hAnsi="Arial" w:cs="Arial"/>
          <w:color w:val="000000"/>
          <w:lang w:val="en-GB"/>
        </w:rPr>
      </w:pPr>
      <w:r w:rsidRPr="00C119B9">
        <w:rPr>
          <w:rFonts w:ascii="Arial" w:eastAsia="Times New Roman" w:hAnsi="Arial" w:cs="Arial"/>
          <w:color w:val="000000"/>
          <w:lang w:val="en-GB"/>
        </w:rPr>
        <w:t xml:space="preserve">The role of </w:t>
      </w:r>
      <w:r w:rsidR="00C92A27">
        <w:rPr>
          <w:rFonts w:ascii="Arial" w:eastAsia="Times New Roman" w:hAnsi="Arial" w:cs="Arial"/>
          <w:color w:val="000000"/>
          <w:lang w:val="en-GB"/>
        </w:rPr>
        <w:t>Procurement</w:t>
      </w:r>
      <w:r w:rsidRPr="00C119B9">
        <w:rPr>
          <w:rFonts w:ascii="Arial" w:eastAsia="Times New Roman" w:hAnsi="Arial" w:cs="Arial"/>
          <w:color w:val="000000"/>
          <w:lang w:val="en-GB"/>
        </w:rPr>
        <w:t xml:space="preserve"> in the evaluation panel is to ensure an impartial and objective approach is taken to the evaluation of tenders.</w:t>
      </w:r>
    </w:p>
    <w:p w:rsidR="00B560C8" w:rsidRPr="00B560C8" w:rsidRDefault="00B560C8" w:rsidP="00C119B9">
      <w:pPr>
        <w:shd w:val="clear" w:color="auto" w:fill="FFFFFF"/>
        <w:spacing w:before="240" w:after="120" w:line="288" w:lineRule="auto"/>
        <w:jc w:val="both"/>
        <w:rPr>
          <w:rFonts w:ascii="Arial" w:eastAsia="Times New Roman" w:hAnsi="Arial" w:cs="Arial"/>
          <w:b/>
          <w:color w:val="000000"/>
          <w:lang w:val="en-GB"/>
        </w:rPr>
      </w:pPr>
      <w:r w:rsidRPr="00B560C8">
        <w:rPr>
          <w:rFonts w:ascii="Arial" w:eastAsia="Times New Roman" w:hAnsi="Arial" w:cs="Arial"/>
          <w:b/>
          <w:color w:val="000000"/>
          <w:lang w:val="en-GB"/>
        </w:rPr>
        <w:t xml:space="preserve">The </w:t>
      </w:r>
      <w:r w:rsidR="00C119B9">
        <w:rPr>
          <w:rFonts w:ascii="Arial" w:eastAsia="Times New Roman" w:hAnsi="Arial" w:cs="Arial"/>
          <w:b/>
          <w:color w:val="000000"/>
          <w:lang w:val="en-GB"/>
        </w:rPr>
        <w:t xml:space="preserve">Technical </w:t>
      </w:r>
      <w:r w:rsidR="003708C5">
        <w:rPr>
          <w:rFonts w:ascii="Arial" w:eastAsia="Times New Roman" w:hAnsi="Arial" w:cs="Arial"/>
          <w:b/>
          <w:color w:val="000000"/>
          <w:lang w:val="en-GB"/>
        </w:rPr>
        <w:t>Evaluation</w:t>
      </w:r>
    </w:p>
    <w:p w:rsidR="00C119B9" w:rsidRDefault="00C119B9" w:rsidP="00B560C8">
      <w:pPr>
        <w:shd w:val="clear" w:color="auto" w:fill="FFFFFF"/>
        <w:spacing w:before="120" w:after="120" w:line="288" w:lineRule="auto"/>
        <w:jc w:val="both"/>
        <w:rPr>
          <w:rFonts w:ascii="Arial" w:eastAsia="Times New Roman" w:hAnsi="Arial" w:cs="Arial"/>
          <w:color w:val="000000"/>
          <w:lang w:val="en-GB"/>
        </w:rPr>
      </w:pPr>
      <w:r w:rsidRPr="00C119B9">
        <w:rPr>
          <w:rFonts w:ascii="Arial" w:eastAsia="Times New Roman" w:hAnsi="Arial" w:cs="Arial"/>
          <w:color w:val="000000"/>
          <w:lang w:val="en-GB"/>
        </w:rPr>
        <w:t xml:space="preserve">The evaluation criteria and scoring methodology </w:t>
      </w:r>
      <w:r>
        <w:rPr>
          <w:rFonts w:ascii="Arial" w:eastAsia="Times New Roman" w:hAnsi="Arial" w:cs="Arial"/>
          <w:color w:val="000000"/>
          <w:lang w:val="en-GB"/>
        </w:rPr>
        <w:t xml:space="preserve">will </w:t>
      </w:r>
      <w:r w:rsidRPr="00C119B9">
        <w:rPr>
          <w:rFonts w:ascii="Arial" w:eastAsia="Times New Roman" w:hAnsi="Arial" w:cs="Arial"/>
          <w:color w:val="000000"/>
          <w:lang w:val="en-GB"/>
        </w:rPr>
        <w:t>have been determined at the Specification stage and published to Tenderers in the Invitation to Tender (ITT).</w:t>
      </w:r>
      <w:r>
        <w:rPr>
          <w:rFonts w:ascii="Arial" w:eastAsia="Times New Roman" w:hAnsi="Arial" w:cs="Arial"/>
          <w:color w:val="000000"/>
          <w:lang w:val="en-GB"/>
        </w:rPr>
        <w:t xml:space="preserve">  </w:t>
      </w:r>
    </w:p>
    <w:p w:rsidR="00A4686E" w:rsidRDefault="00C92A27" w:rsidP="00A4686E">
      <w:pPr>
        <w:shd w:val="clear" w:color="auto" w:fill="FFFFFF"/>
        <w:spacing w:before="120" w:after="120" w:line="288" w:lineRule="auto"/>
        <w:jc w:val="both"/>
        <w:rPr>
          <w:rFonts w:ascii="Arial" w:eastAsia="Times New Roman" w:hAnsi="Arial" w:cs="Arial"/>
          <w:bCs/>
          <w:color w:val="000000"/>
          <w:lang w:val="en-GB"/>
        </w:rPr>
      </w:pPr>
      <w:r>
        <w:rPr>
          <w:rFonts w:ascii="Arial" w:eastAsia="Times New Roman" w:hAnsi="Arial" w:cs="Arial"/>
          <w:bCs/>
          <w:color w:val="000000"/>
          <w:lang w:val="en-GB"/>
        </w:rPr>
        <w:t>Procurement will assist a</w:t>
      </w:r>
      <w:r w:rsidR="00A4686E" w:rsidRPr="00B641BC">
        <w:rPr>
          <w:rFonts w:ascii="Arial" w:eastAsia="Times New Roman" w:hAnsi="Arial" w:cs="Arial"/>
          <w:bCs/>
          <w:color w:val="000000"/>
          <w:lang w:val="en-GB"/>
        </w:rPr>
        <w:t>nd work with the evaluation panel to determine the guidance notes against each question and score prior to issuing the Invitation to Tender.</w:t>
      </w:r>
    </w:p>
    <w:p w:rsidR="00FF3C94" w:rsidRPr="00FF3C94" w:rsidRDefault="00B26DC6" w:rsidP="00FF3C94">
      <w:pPr>
        <w:shd w:val="clear" w:color="auto" w:fill="FFFFFF"/>
        <w:spacing w:before="120" w:after="120" w:line="288" w:lineRule="auto"/>
        <w:jc w:val="both"/>
        <w:rPr>
          <w:rFonts w:ascii="Arial" w:eastAsia="Times New Roman" w:hAnsi="Arial" w:cs="Arial"/>
          <w:color w:val="000000"/>
          <w:u w:val="single"/>
          <w:lang w:val="en-GB"/>
        </w:rPr>
      </w:pPr>
      <w:r>
        <w:rPr>
          <w:rFonts w:ascii="Arial" w:eastAsia="Times New Roman" w:hAnsi="Arial" w:cs="Arial"/>
          <w:color w:val="000000"/>
          <w:lang w:val="en-GB"/>
        </w:rPr>
        <w:t>Once tender responses are returned, t</w:t>
      </w:r>
      <w:r w:rsidR="000610EC" w:rsidRPr="000610EC">
        <w:rPr>
          <w:rFonts w:ascii="Arial" w:eastAsia="Times New Roman" w:hAnsi="Arial" w:cs="Arial"/>
          <w:color w:val="000000"/>
          <w:lang w:val="en-GB"/>
        </w:rPr>
        <w:t xml:space="preserve">he panel members should read and score the technical aspects of the tenders independently using </w:t>
      </w:r>
      <w:r w:rsidR="00B560C8">
        <w:rPr>
          <w:rFonts w:ascii="Arial" w:eastAsia="Times New Roman" w:hAnsi="Arial" w:cs="Arial"/>
          <w:color w:val="000000"/>
          <w:lang w:val="en-GB"/>
        </w:rPr>
        <w:t xml:space="preserve">the </w:t>
      </w:r>
      <w:r w:rsidR="000610EC" w:rsidRPr="000610EC">
        <w:rPr>
          <w:rFonts w:ascii="Arial" w:eastAsia="Times New Roman" w:hAnsi="Arial" w:cs="Arial"/>
          <w:color w:val="000000"/>
          <w:lang w:val="en-GB"/>
        </w:rPr>
        <w:t>pre-defined evaluation criteria and scoring system</w:t>
      </w:r>
      <w:r w:rsidR="00B560C8">
        <w:rPr>
          <w:rFonts w:ascii="Arial" w:eastAsia="Times New Roman" w:hAnsi="Arial" w:cs="Arial"/>
          <w:color w:val="000000"/>
          <w:lang w:val="en-GB"/>
        </w:rPr>
        <w:t>.</w:t>
      </w:r>
      <w:r w:rsidR="00527521">
        <w:rPr>
          <w:rFonts w:ascii="Arial" w:eastAsia="Times New Roman" w:hAnsi="Arial" w:cs="Arial"/>
          <w:color w:val="000000"/>
          <w:lang w:val="en-GB"/>
        </w:rPr>
        <w:t xml:space="preserve">  The panel must provide a detailed explanation of why they scored each question the way they did</w:t>
      </w:r>
      <w:r w:rsidR="00FF3C94">
        <w:rPr>
          <w:rFonts w:ascii="Arial" w:eastAsia="Times New Roman" w:hAnsi="Arial" w:cs="Arial"/>
          <w:color w:val="000000"/>
          <w:lang w:val="en-GB"/>
        </w:rPr>
        <w:t xml:space="preserve">.  </w:t>
      </w:r>
      <w:r w:rsidR="00FF3C94" w:rsidRPr="00FF3C94">
        <w:rPr>
          <w:rFonts w:ascii="Arial" w:eastAsia="Times New Roman" w:hAnsi="Arial" w:cs="Arial"/>
          <w:color w:val="000000"/>
          <w:lang w:val="en-GB"/>
        </w:rPr>
        <w:t>A full justification of scoring is especially important where</w:t>
      </w:r>
      <w:r w:rsidR="00C92A27">
        <w:rPr>
          <w:rFonts w:ascii="Arial" w:eastAsia="Times New Roman" w:hAnsi="Arial" w:cs="Arial"/>
          <w:color w:val="000000"/>
          <w:lang w:val="en-GB"/>
        </w:rPr>
        <w:t xml:space="preserve"> a bid has failed to meet the 'good</w:t>
      </w:r>
      <w:r w:rsidR="00FF3C94" w:rsidRPr="00FF3C94">
        <w:rPr>
          <w:rFonts w:ascii="Arial" w:eastAsia="Times New Roman" w:hAnsi="Arial" w:cs="Arial"/>
          <w:color w:val="000000"/>
          <w:lang w:val="en-GB"/>
        </w:rPr>
        <w:t>' expectation</w:t>
      </w:r>
      <w:r w:rsidR="0072543A">
        <w:rPr>
          <w:rFonts w:ascii="Arial" w:eastAsia="Times New Roman" w:hAnsi="Arial" w:cs="Arial"/>
          <w:color w:val="000000"/>
          <w:lang w:val="en-GB"/>
        </w:rPr>
        <w:t xml:space="preserve">, </w:t>
      </w:r>
      <w:r w:rsidR="00FF3C94">
        <w:rPr>
          <w:rFonts w:ascii="Arial" w:eastAsia="Times New Roman" w:hAnsi="Arial" w:cs="Arial"/>
          <w:color w:val="000000"/>
          <w:lang w:val="en-GB"/>
        </w:rPr>
        <w:t xml:space="preserve">as </w:t>
      </w:r>
      <w:r w:rsidR="00FF3C94" w:rsidRPr="00FF3C94">
        <w:rPr>
          <w:rFonts w:ascii="Arial" w:eastAsia="Times New Roman" w:hAnsi="Arial" w:cs="Arial"/>
          <w:color w:val="000000"/>
          <w:lang w:val="en-GB"/>
        </w:rPr>
        <w:t xml:space="preserve">set </w:t>
      </w:r>
      <w:r w:rsidR="00FF3C94">
        <w:rPr>
          <w:rFonts w:ascii="Arial" w:eastAsia="Times New Roman" w:hAnsi="Arial" w:cs="Arial"/>
          <w:color w:val="000000"/>
          <w:lang w:val="en-GB"/>
        </w:rPr>
        <w:t>out in the evaluation criteria</w:t>
      </w:r>
      <w:r w:rsidR="0072543A">
        <w:rPr>
          <w:rFonts w:ascii="Arial" w:eastAsia="Times New Roman" w:hAnsi="Arial" w:cs="Arial"/>
          <w:color w:val="000000"/>
          <w:lang w:val="en-GB"/>
        </w:rPr>
        <w:t xml:space="preserve">, </w:t>
      </w:r>
      <w:r w:rsidR="00527521">
        <w:rPr>
          <w:rFonts w:ascii="Arial" w:eastAsia="Times New Roman" w:hAnsi="Arial" w:cs="Arial"/>
          <w:color w:val="000000"/>
          <w:lang w:val="en-GB"/>
        </w:rPr>
        <w:t xml:space="preserve">as this will form the basis of the </w:t>
      </w:r>
      <w:r w:rsidR="0072543A" w:rsidRPr="00FF3C94">
        <w:rPr>
          <w:rFonts w:ascii="Arial" w:eastAsia="Times New Roman" w:hAnsi="Arial" w:cs="Arial"/>
          <w:color w:val="000000"/>
          <w:lang w:val="en-GB"/>
        </w:rPr>
        <w:t>standstill letters and debriefing</w:t>
      </w:r>
      <w:r w:rsidR="0072543A">
        <w:rPr>
          <w:rFonts w:ascii="Arial" w:eastAsia="Times New Roman" w:hAnsi="Arial" w:cs="Arial"/>
          <w:color w:val="000000"/>
          <w:lang w:val="en-GB"/>
        </w:rPr>
        <w:t xml:space="preserve"> </w:t>
      </w:r>
      <w:r w:rsidR="00527521">
        <w:rPr>
          <w:rFonts w:ascii="Arial" w:eastAsia="Times New Roman" w:hAnsi="Arial" w:cs="Arial"/>
          <w:color w:val="000000"/>
          <w:lang w:val="en-GB"/>
        </w:rPr>
        <w:t>that we are required to provide to the</w:t>
      </w:r>
      <w:r w:rsidR="0072543A">
        <w:rPr>
          <w:rFonts w:ascii="Arial" w:eastAsia="Times New Roman" w:hAnsi="Arial" w:cs="Arial"/>
          <w:color w:val="000000"/>
          <w:lang w:val="en-GB"/>
        </w:rPr>
        <w:t xml:space="preserve"> bidder on their submission.</w:t>
      </w:r>
      <w:r w:rsidR="00FF3C94" w:rsidRPr="00FF3C94">
        <w:rPr>
          <w:rFonts w:ascii="Arial" w:eastAsia="Times New Roman" w:hAnsi="Arial" w:cs="Arial"/>
          <w:color w:val="000000"/>
          <w:lang w:val="en-GB"/>
        </w:rPr>
        <w:t xml:space="preserve"> </w:t>
      </w:r>
    </w:p>
    <w:p w:rsidR="00B560C8" w:rsidRDefault="00B560C8" w:rsidP="00B560C8">
      <w:pPr>
        <w:shd w:val="clear" w:color="auto" w:fill="FFFFFF"/>
        <w:spacing w:before="120" w:after="120" w:line="288" w:lineRule="auto"/>
        <w:jc w:val="both"/>
        <w:rPr>
          <w:rFonts w:ascii="Arial" w:eastAsia="Times New Roman" w:hAnsi="Arial" w:cs="Arial"/>
          <w:color w:val="000000"/>
          <w:lang w:val="en-GB"/>
        </w:rPr>
      </w:pPr>
      <w:r>
        <w:rPr>
          <w:rFonts w:ascii="Arial" w:eastAsia="Times New Roman" w:hAnsi="Arial" w:cs="Arial"/>
          <w:color w:val="000000"/>
          <w:lang w:val="en-GB"/>
        </w:rPr>
        <w:t>The panel may be asked to carry out the scoring electronically through the University’s e-evaluation tool, AWARD (see below).</w:t>
      </w:r>
      <w:r w:rsidR="00BD38F4">
        <w:rPr>
          <w:rFonts w:ascii="Arial" w:eastAsia="Times New Roman" w:hAnsi="Arial" w:cs="Arial"/>
          <w:color w:val="000000"/>
          <w:lang w:val="en-GB"/>
        </w:rPr>
        <w:t xml:space="preserve">  </w:t>
      </w:r>
      <w:r>
        <w:rPr>
          <w:rFonts w:ascii="Arial" w:eastAsia="Times New Roman" w:hAnsi="Arial" w:cs="Arial"/>
          <w:color w:val="000000"/>
          <w:lang w:val="en-GB"/>
        </w:rPr>
        <w:t xml:space="preserve">  </w:t>
      </w:r>
    </w:p>
    <w:p w:rsidR="00B13D9B" w:rsidRDefault="00B13D9B" w:rsidP="00B560C8">
      <w:pPr>
        <w:shd w:val="clear" w:color="auto" w:fill="FFFFFF"/>
        <w:spacing w:before="120" w:after="120" w:line="288" w:lineRule="auto"/>
        <w:jc w:val="both"/>
        <w:rPr>
          <w:rFonts w:ascii="Arial" w:eastAsia="Times New Roman" w:hAnsi="Arial" w:cs="Arial"/>
          <w:color w:val="000000"/>
          <w:lang w:val="en-GB"/>
        </w:rPr>
      </w:pPr>
    </w:p>
    <w:p w:rsidR="00A44139" w:rsidRDefault="00A44139" w:rsidP="00B560C8">
      <w:pPr>
        <w:shd w:val="clear" w:color="auto" w:fill="FFFFFF"/>
        <w:spacing w:before="120" w:after="120" w:line="288" w:lineRule="auto"/>
        <w:jc w:val="both"/>
        <w:rPr>
          <w:rFonts w:ascii="Arial" w:eastAsia="Times New Roman" w:hAnsi="Arial" w:cs="Arial"/>
          <w:color w:val="000000"/>
          <w:lang w:val="en-GB"/>
        </w:rPr>
      </w:pPr>
    </w:p>
    <w:p w:rsidR="001B78BA" w:rsidRDefault="001B78BA" w:rsidP="00B560C8">
      <w:pPr>
        <w:shd w:val="clear" w:color="auto" w:fill="FFFFFF"/>
        <w:spacing w:before="120" w:after="120" w:line="288" w:lineRule="auto"/>
        <w:jc w:val="both"/>
        <w:rPr>
          <w:rFonts w:ascii="Arial" w:eastAsia="Times New Roman" w:hAnsi="Arial" w:cs="Arial"/>
          <w:color w:val="000000"/>
          <w:lang w:val="en-GB"/>
        </w:rPr>
      </w:pPr>
    </w:p>
    <w:p w:rsidR="00DA65D5" w:rsidRDefault="00DA65D5" w:rsidP="00B560C8">
      <w:pPr>
        <w:shd w:val="clear" w:color="auto" w:fill="FFFFFF"/>
        <w:spacing w:before="120" w:after="120" w:line="288" w:lineRule="auto"/>
        <w:jc w:val="both"/>
        <w:rPr>
          <w:rFonts w:ascii="Arial" w:eastAsia="Times New Roman" w:hAnsi="Arial" w:cs="Arial"/>
          <w:color w:val="000000"/>
          <w:lang w:val="en-GB"/>
        </w:rPr>
      </w:pPr>
      <w:r w:rsidRPr="00B641BC">
        <w:rPr>
          <w:rFonts w:ascii="Arial" w:eastAsia="Times New Roman" w:hAnsi="Arial" w:cs="Arial"/>
          <w:b/>
          <w:color w:val="000000"/>
          <w:u w:val="single"/>
          <w:lang w:val="en-GB"/>
        </w:rPr>
        <w:lastRenderedPageBreak/>
        <w:t>Scoring Methodology</w:t>
      </w:r>
      <w:r w:rsidRPr="00DA65D5">
        <w:rPr>
          <w:rFonts w:ascii="Arial" w:eastAsia="Times New Roman" w:hAnsi="Arial" w:cs="Arial"/>
          <w:color w:val="000000"/>
          <w:lang w:val="en-GB"/>
        </w:rPr>
        <w:t xml:space="preserve"> </w:t>
      </w:r>
      <w:r w:rsidR="00A86D7D" w:rsidRPr="00DA65D5">
        <w:rPr>
          <w:rFonts w:ascii="Arial" w:eastAsia="Times New Roman" w:hAnsi="Arial" w:cs="Arial"/>
          <w:color w:val="000000"/>
          <w:lang w:val="en-GB"/>
        </w:rPr>
        <w:t xml:space="preserve">– </w:t>
      </w:r>
      <w:r w:rsidR="00A86D7D" w:rsidRPr="008C1960">
        <w:rPr>
          <w:rFonts w:ascii="Arial" w:eastAsia="Times New Roman" w:hAnsi="Arial" w:cs="Arial"/>
          <w:color w:val="365F91"/>
          <w:lang w:val="en-GB"/>
        </w:rPr>
        <w:t>Example</w:t>
      </w:r>
    </w:p>
    <w:p w:rsidR="00A86D7D" w:rsidRDefault="00A86D7D" w:rsidP="00B560C8">
      <w:pPr>
        <w:shd w:val="clear" w:color="auto" w:fill="FFFFFF"/>
        <w:spacing w:before="120" w:after="120" w:line="288" w:lineRule="auto"/>
        <w:jc w:val="both"/>
        <w:rPr>
          <w:rFonts w:ascii="Arial" w:eastAsia="Times New Roman" w:hAnsi="Arial" w:cs="Arial"/>
          <w:color w:val="000000"/>
          <w:lang w:val="en-GB"/>
        </w:rPr>
      </w:pPr>
      <w:r>
        <w:rPr>
          <w:rFonts w:ascii="Arial" w:eastAsia="Times New Roman" w:hAnsi="Arial" w:cs="Arial"/>
          <w:color w:val="000000"/>
          <w:lang w:val="en-GB"/>
        </w:rPr>
        <w:t>In this example</w:t>
      </w:r>
      <w:r w:rsidR="00C92A27">
        <w:rPr>
          <w:rFonts w:ascii="Arial" w:eastAsia="Times New Roman" w:hAnsi="Arial" w:cs="Arial"/>
          <w:color w:val="000000"/>
          <w:lang w:val="en-GB"/>
        </w:rPr>
        <w:t>,</w:t>
      </w:r>
      <w:r>
        <w:rPr>
          <w:rFonts w:ascii="Arial" w:eastAsia="Times New Roman" w:hAnsi="Arial" w:cs="Arial"/>
          <w:color w:val="000000"/>
          <w:lang w:val="en-GB"/>
        </w:rPr>
        <w:t xml:space="preserve"> a specific question and relevant criteria</w:t>
      </w:r>
      <w:r w:rsidR="00C92A27">
        <w:rPr>
          <w:rFonts w:ascii="Arial" w:eastAsia="Times New Roman" w:hAnsi="Arial" w:cs="Arial"/>
          <w:color w:val="000000"/>
          <w:lang w:val="en-GB"/>
        </w:rPr>
        <w:t xml:space="preserve"> have been used.  E</w:t>
      </w:r>
      <w:r w:rsidR="00B641BC">
        <w:rPr>
          <w:rFonts w:ascii="Arial" w:eastAsia="Times New Roman" w:hAnsi="Arial" w:cs="Arial"/>
          <w:color w:val="000000"/>
          <w:lang w:val="en-GB"/>
        </w:rPr>
        <w:t>ach</w:t>
      </w:r>
      <w:r>
        <w:rPr>
          <w:rFonts w:ascii="Arial" w:eastAsia="Times New Roman" w:hAnsi="Arial" w:cs="Arial"/>
          <w:color w:val="000000"/>
          <w:lang w:val="en-GB"/>
        </w:rPr>
        <w:t xml:space="preserve"> scoring methodology</w:t>
      </w:r>
      <w:r w:rsidR="00B641BC">
        <w:rPr>
          <w:rFonts w:ascii="Arial" w:eastAsia="Times New Roman" w:hAnsi="Arial" w:cs="Arial"/>
          <w:color w:val="000000"/>
          <w:lang w:val="en-GB"/>
        </w:rPr>
        <w:t xml:space="preserve"> </w:t>
      </w:r>
      <w:r>
        <w:rPr>
          <w:rFonts w:ascii="Arial" w:eastAsia="Times New Roman" w:hAnsi="Arial" w:cs="Arial"/>
          <w:color w:val="000000"/>
          <w:lang w:val="en-GB"/>
        </w:rPr>
        <w:t xml:space="preserve">will be related to the question. The </w:t>
      </w:r>
      <w:r w:rsidR="00B641BC">
        <w:rPr>
          <w:rFonts w:ascii="Arial" w:eastAsia="Times New Roman" w:hAnsi="Arial" w:cs="Arial"/>
          <w:color w:val="000000"/>
          <w:lang w:val="en-GB"/>
        </w:rPr>
        <w:t>gui</w:t>
      </w:r>
      <w:r w:rsidR="00C01C43">
        <w:rPr>
          <w:rFonts w:ascii="Arial" w:eastAsia="Times New Roman" w:hAnsi="Arial" w:cs="Arial"/>
          <w:color w:val="000000"/>
          <w:lang w:val="en-GB"/>
        </w:rPr>
        <w:t>dance should provide the tenderers</w:t>
      </w:r>
      <w:r w:rsidR="00B641BC">
        <w:rPr>
          <w:rFonts w:ascii="Arial" w:eastAsia="Times New Roman" w:hAnsi="Arial" w:cs="Arial"/>
          <w:color w:val="000000"/>
          <w:lang w:val="en-GB"/>
        </w:rPr>
        <w:t xml:space="preserve"> with an indication of how you would determine what a “Good”, “Acceptable”, “Minor Concerns” &amp; “Major Concerns” response would be</w:t>
      </w:r>
      <w:r w:rsidR="00C01C43">
        <w:rPr>
          <w:rFonts w:ascii="Arial" w:eastAsia="Times New Roman" w:hAnsi="Arial" w:cs="Arial"/>
          <w:color w:val="000000"/>
          <w:lang w:val="en-GB"/>
        </w:rPr>
        <w:t>.</w:t>
      </w:r>
    </w:p>
    <w:p w:rsidR="00A86D7D" w:rsidRPr="008C1960" w:rsidRDefault="00A86D7D" w:rsidP="00A86D7D">
      <w:pPr>
        <w:numPr>
          <w:ilvl w:val="1"/>
          <w:numId w:val="2"/>
        </w:numPr>
        <w:spacing w:after="0" w:line="240" w:lineRule="auto"/>
        <w:ind w:left="567" w:hanging="567"/>
        <w:jc w:val="both"/>
        <w:rPr>
          <w:rFonts w:ascii="Arial" w:hAnsi="Arial" w:cs="Arial"/>
          <w:color w:val="365F91"/>
          <w:lang w:eastAsia="en-GB"/>
        </w:rPr>
      </w:pPr>
      <w:r w:rsidRPr="008C1960">
        <w:rPr>
          <w:rFonts w:ascii="Arial" w:hAnsi="Arial" w:cs="Arial"/>
          <w:color w:val="365F91"/>
          <w:lang w:eastAsia="en-GB"/>
        </w:rPr>
        <w:t>Please demonstrate your methodology and management appr</w:t>
      </w:r>
      <w:r w:rsidR="00DF7586">
        <w:rPr>
          <w:rFonts w:ascii="Arial" w:hAnsi="Arial" w:cs="Arial"/>
          <w:color w:val="365F91"/>
          <w:lang w:eastAsia="en-GB"/>
        </w:rPr>
        <w:t xml:space="preserve">oach to service delivery in </w:t>
      </w:r>
      <w:r w:rsidRPr="008C1960">
        <w:rPr>
          <w:rFonts w:ascii="Arial" w:hAnsi="Arial" w:cs="Arial"/>
          <w:color w:val="365F91"/>
          <w:lang w:eastAsia="en-GB"/>
        </w:rPr>
        <w:t>meeting the Specification of Requirements. Your response must include:</w:t>
      </w:r>
    </w:p>
    <w:p w:rsidR="00A86D7D" w:rsidRPr="008C1960" w:rsidRDefault="00A86D7D" w:rsidP="00A86D7D">
      <w:pPr>
        <w:numPr>
          <w:ilvl w:val="0"/>
          <w:numId w:val="3"/>
        </w:numPr>
        <w:spacing w:after="0" w:line="240" w:lineRule="auto"/>
        <w:jc w:val="both"/>
        <w:rPr>
          <w:rFonts w:ascii="Arial" w:hAnsi="Arial" w:cs="Arial"/>
          <w:color w:val="365F91"/>
          <w:lang w:eastAsia="en-GB"/>
        </w:rPr>
      </w:pPr>
      <w:r w:rsidRPr="008C1960">
        <w:rPr>
          <w:rFonts w:ascii="Arial" w:hAnsi="Arial" w:cs="Arial"/>
          <w:color w:val="365F91"/>
          <w:lang w:eastAsia="en-GB"/>
        </w:rPr>
        <w:t>Detailed project plan identifying key milestones, timescales and outputs;</w:t>
      </w:r>
    </w:p>
    <w:p w:rsidR="00A86D7D" w:rsidRPr="008C1960" w:rsidRDefault="00A86D7D" w:rsidP="00A86D7D">
      <w:pPr>
        <w:numPr>
          <w:ilvl w:val="0"/>
          <w:numId w:val="3"/>
        </w:numPr>
        <w:spacing w:after="0" w:line="240" w:lineRule="auto"/>
        <w:jc w:val="both"/>
        <w:rPr>
          <w:rFonts w:ascii="Arial" w:hAnsi="Arial" w:cs="Arial"/>
          <w:color w:val="365F91"/>
          <w:lang w:eastAsia="en-GB"/>
        </w:rPr>
      </w:pPr>
      <w:r w:rsidRPr="008C1960">
        <w:rPr>
          <w:rFonts w:ascii="Arial" w:hAnsi="Arial" w:cs="Arial"/>
          <w:color w:val="365F91"/>
          <w:lang w:eastAsia="en-GB"/>
        </w:rPr>
        <w:t xml:space="preserve">Identify key risks associated with the </w:t>
      </w:r>
      <w:r w:rsidR="00C01C43">
        <w:rPr>
          <w:rFonts w:ascii="Arial" w:hAnsi="Arial" w:cs="Arial"/>
          <w:color w:val="365F91"/>
          <w:lang w:eastAsia="en-GB"/>
        </w:rPr>
        <w:t>Contract</w:t>
      </w:r>
      <w:r w:rsidRPr="008C1960">
        <w:rPr>
          <w:rFonts w:ascii="Arial" w:hAnsi="Arial" w:cs="Arial"/>
          <w:color w:val="365F91"/>
          <w:lang w:eastAsia="en-GB"/>
        </w:rPr>
        <w:t xml:space="preserve"> and how they will be mitigated;</w:t>
      </w:r>
    </w:p>
    <w:p w:rsidR="00A86D7D" w:rsidRPr="008C1960" w:rsidRDefault="00A86D7D" w:rsidP="00A86D7D">
      <w:pPr>
        <w:numPr>
          <w:ilvl w:val="0"/>
          <w:numId w:val="3"/>
        </w:numPr>
        <w:spacing w:after="0" w:line="240" w:lineRule="auto"/>
        <w:jc w:val="both"/>
        <w:rPr>
          <w:rFonts w:ascii="Arial" w:hAnsi="Arial" w:cs="Arial"/>
          <w:color w:val="365F91"/>
          <w:lang w:eastAsia="en-GB"/>
        </w:rPr>
      </w:pPr>
      <w:r w:rsidRPr="008C1960">
        <w:rPr>
          <w:rFonts w:ascii="Arial" w:hAnsi="Arial" w:cs="Arial"/>
          <w:color w:val="365F91"/>
          <w:lang w:eastAsia="en-GB"/>
        </w:rPr>
        <w:t>Demonstrate that capacity will exist at all times and how this will be managed;</w:t>
      </w:r>
    </w:p>
    <w:p w:rsidR="00A86D7D" w:rsidRPr="008C1960" w:rsidRDefault="00A86D7D" w:rsidP="00A86D7D">
      <w:pPr>
        <w:numPr>
          <w:ilvl w:val="0"/>
          <w:numId w:val="3"/>
        </w:numPr>
        <w:spacing w:after="0" w:line="240" w:lineRule="auto"/>
        <w:jc w:val="both"/>
        <w:rPr>
          <w:rFonts w:ascii="Arial" w:hAnsi="Arial" w:cs="Arial"/>
          <w:color w:val="365F91"/>
          <w:lang w:eastAsia="en-GB"/>
        </w:rPr>
      </w:pPr>
      <w:r w:rsidRPr="008C1960">
        <w:rPr>
          <w:rFonts w:ascii="Arial" w:hAnsi="Arial" w:cs="Arial"/>
          <w:color w:val="365F91"/>
          <w:lang w:eastAsia="en-GB"/>
        </w:rPr>
        <w:t>What contingency plans are in place;</w:t>
      </w:r>
    </w:p>
    <w:p w:rsidR="00A86D7D" w:rsidRPr="008C1960" w:rsidRDefault="00A86D7D" w:rsidP="00A86D7D">
      <w:pPr>
        <w:numPr>
          <w:ilvl w:val="0"/>
          <w:numId w:val="3"/>
        </w:numPr>
        <w:spacing w:after="0" w:line="240" w:lineRule="auto"/>
        <w:jc w:val="both"/>
        <w:rPr>
          <w:rFonts w:ascii="Arial" w:hAnsi="Arial" w:cs="Arial"/>
          <w:color w:val="365F91"/>
          <w:lang w:eastAsia="en-GB"/>
        </w:rPr>
      </w:pPr>
      <w:r w:rsidRPr="008C1960">
        <w:rPr>
          <w:rFonts w:ascii="Arial" w:hAnsi="Arial" w:cs="Arial"/>
          <w:color w:val="365F91"/>
          <w:lang w:eastAsia="en-GB"/>
        </w:rPr>
        <w:t>State how confidentiality will be maintained where required;</w:t>
      </w:r>
    </w:p>
    <w:p w:rsidR="00A86D7D" w:rsidRPr="008C1960" w:rsidRDefault="00A86D7D" w:rsidP="00A86D7D">
      <w:pPr>
        <w:numPr>
          <w:ilvl w:val="0"/>
          <w:numId w:val="3"/>
        </w:numPr>
        <w:spacing w:after="0" w:line="240" w:lineRule="auto"/>
        <w:jc w:val="both"/>
        <w:rPr>
          <w:rFonts w:ascii="Arial" w:hAnsi="Arial" w:cs="Arial"/>
          <w:color w:val="365F91"/>
          <w:lang w:eastAsia="en-GB"/>
        </w:rPr>
      </w:pPr>
      <w:r w:rsidRPr="008C1960">
        <w:rPr>
          <w:rFonts w:ascii="Arial" w:hAnsi="Arial" w:cs="Arial"/>
          <w:color w:val="365F91"/>
          <w:lang w:eastAsia="en-GB"/>
        </w:rPr>
        <w:t>How sub-contractors (if applicable) will be managed.</w:t>
      </w:r>
    </w:p>
    <w:p w:rsidR="00A86D7D" w:rsidRPr="008C1960" w:rsidRDefault="00A86D7D" w:rsidP="00A86D7D">
      <w:pPr>
        <w:rPr>
          <w:rFonts w:cs="Arial"/>
          <w:color w:val="365F91"/>
          <w:lang w:eastAsia="en-GB"/>
        </w:rPr>
      </w:pPr>
    </w:p>
    <w:p w:rsidR="00A86D7D" w:rsidRPr="008C1960" w:rsidRDefault="00A86D7D" w:rsidP="00A86D7D">
      <w:pPr>
        <w:numPr>
          <w:ilvl w:val="1"/>
          <w:numId w:val="2"/>
        </w:numPr>
        <w:spacing w:after="0" w:line="240" w:lineRule="auto"/>
        <w:ind w:left="567" w:hanging="567"/>
        <w:jc w:val="both"/>
        <w:rPr>
          <w:rFonts w:ascii="Arial" w:hAnsi="Arial" w:cs="Arial"/>
          <w:color w:val="365F91"/>
          <w:lang w:eastAsia="en-GB"/>
        </w:rPr>
      </w:pPr>
      <w:r w:rsidRPr="008C1960">
        <w:rPr>
          <w:rFonts w:ascii="Arial" w:hAnsi="Arial" w:cs="Arial"/>
          <w:color w:val="365F91"/>
          <w:lang w:eastAsia="en-GB"/>
        </w:rPr>
        <w:t>This question will be evaluated and scored using the scoring methodology below.</w:t>
      </w:r>
    </w:p>
    <w:p w:rsidR="00A86D7D" w:rsidRPr="00A86D7D" w:rsidRDefault="00A86D7D" w:rsidP="00A86D7D">
      <w:pPr>
        <w:tabs>
          <w:tab w:val="center" w:pos="4153"/>
          <w:tab w:val="right" w:pos="8306"/>
        </w:tabs>
        <w:rPr>
          <w:rFonts w:ascii="Arial" w:hAnsi="Arial" w:cs="Arial"/>
          <w:b/>
          <w:u w:val="single"/>
          <w:lang w:eastAsia="en-GB"/>
        </w:rPr>
      </w:pPr>
    </w:p>
    <w:p w:rsidR="00A86D7D" w:rsidRPr="00A86D7D" w:rsidRDefault="00A86D7D" w:rsidP="00B641BC">
      <w:pPr>
        <w:tabs>
          <w:tab w:val="center" w:pos="4153"/>
          <w:tab w:val="right" w:pos="8306"/>
        </w:tabs>
        <w:ind w:left="360"/>
        <w:rPr>
          <w:rFonts w:ascii="Arial" w:hAnsi="Arial" w:cs="Arial"/>
          <w:b/>
          <w:u w:val="single"/>
          <w:lang w:eastAsia="en-GB"/>
        </w:rPr>
      </w:pPr>
      <w:r w:rsidRPr="00A86D7D">
        <w:rPr>
          <w:rFonts w:ascii="Arial" w:hAnsi="Arial" w:cs="Arial"/>
          <w:b/>
          <w:u w:val="single"/>
          <w:lang w:eastAsia="en-GB"/>
        </w:rPr>
        <w:t>Scoring Methodology</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6586"/>
      </w:tblGrid>
      <w:tr w:rsidR="00B641BC" w:rsidRPr="00A86D7D" w:rsidTr="008C1960">
        <w:tc>
          <w:tcPr>
            <w:tcW w:w="2442" w:type="dxa"/>
            <w:tcBorders>
              <w:top w:val="single" w:sz="4" w:space="0" w:color="000000"/>
              <w:left w:val="single" w:sz="4" w:space="0" w:color="000000"/>
              <w:bottom w:val="single" w:sz="4" w:space="0" w:color="000000"/>
              <w:right w:val="single" w:sz="4" w:space="0" w:color="000000"/>
            </w:tcBorders>
            <w:vAlign w:val="center"/>
          </w:tcPr>
          <w:p w:rsidR="00B641BC" w:rsidRPr="00A86D7D" w:rsidRDefault="00B641BC" w:rsidP="008C1960">
            <w:pPr>
              <w:tabs>
                <w:tab w:val="center" w:pos="4153"/>
                <w:tab w:val="right" w:pos="8306"/>
              </w:tabs>
              <w:rPr>
                <w:rFonts w:ascii="Arial" w:hAnsi="Arial" w:cs="Arial"/>
                <w:b/>
                <w:lang w:eastAsia="en-GB"/>
              </w:rPr>
            </w:pPr>
            <w:r>
              <w:rPr>
                <w:rFonts w:ascii="Arial" w:hAnsi="Arial" w:cs="Arial"/>
                <w:b/>
                <w:lang w:eastAsia="en-GB"/>
              </w:rPr>
              <w:t>Score</w:t>
            </w:r>
          </w:p>
        </w:tc>
        <w:tc>
          <w:tcPr>
            <w:tcW w:w="6774" w:type="dxa"/>
            <w:tcBorders>
              <w:top w:val="single" w:sz="4" w:space="0" w:color="000000"/>
              <w:left w:val="single" w:sz="4" w:space="0" w:color="000000"/>
              <w:bottom w:val="single" w:sz="4" w:space="0" w:color="000000"/>
              <w:right w:val="single" w:sz="4" w:space="0" w:color="000000"/>
            </w:tcBorders>
          </w:tcPr>
          <w:p w:rsidR="00B641BC" w:rsidRPr="00B641BC" w:rsidRDefault="00B641BC" w:rsidP="008C1960">
            <w:pPr>
              <w:tabs>
                <w:tab w:val="center" w:pos="4153"/>
                <w:tab w:val="right" w:pos="8306"/>
              </w:tabs>
              <w:rPr>
                <w:rFonts w:ascii="Arial" w:hAnsi="Arial" w:cs="Arial"/>
                <w:b/>
                <w:lang w:eastAsia="en-GB"/>
              </w:rPr>
            </w:pPr>
            <w:r w:rsidRPr="00B641BC">
              <w:rPr>
                <w:rFonts w:ascii="Arial" w:hAnsi="Arial" w:cs="Arial"/>
                <w:b/>
                <w:lang w:eastAsia="en-GB"/>
              </w:rPr>
              <w:t xml:space="preserve">Guidance </w:t>
            </w:r>
          </w:p>
        </w:tc>
      </w:tr>
      <w:tr w:rsidR="00A86D7D" w:rsidRPr="00A86D7D" w:rsidTr="008C1960">
        <w:tc>
          <w:tcPr>
            <w:tcW w:w="2442" w:type="dxa"/>
            <w:tcBorders>
              <w:top w:val="single" w:sz="4" w:space="0" w:color="000000"/>
              <w:left w:val="single" w:sz="4" w:space="0" w:color="000000"/>
              <w:bottom w:val="single" w:sz="4" w:space="0" w:color="000000"/>
              <w:right w:val="single" w:sz="4" w:space="0" w:color="000000"/>
            </w:tcBorders>
            <w:vAlign w:val="center"/>
            <w:hideMark/>
          </w:tcPr>
          <w:p w:rsidR="00A86D7D" w:rsidRPr="00A86D7D" w:rsidRDefault="00A86D7D" w:rsidP="008C1960">
            <w:pPr>
              <w:tabs>
                <w:tab w:val="center" w:pos="4153"/>
                <w:tab w:val="right" w:pos="8306"/>
              </w:tabs>
              <w:rPr>
                <w:rFonts w:ascii="Arial" w:hAnsi="Arial" w:cs="Arial"/>
                <w:b/>
                <w:lang w:eastAsia="en-GB"/>
              </w:rPr>
            </w:pPr>
            <w:r w:rsidRPr="00A86D7D">
              <w:rPr>
                <w:rFonts w:ascii="Arial" w:hAnsi="Arial" w:cs="Arial"/>
                <w:b/>
                <w:lang w:eastAsia="en-GB"/>
              </w:rPr>
              <w:t>3 – Good</w:t>
            </w:r>
          </w:p>
        </w:tc>
        <w:tc>
          <w:tcPr>
            <w:tcW w:w="6774" w:type="dxa"/>
            <w:tcBorders>
              <w:top w:val="single" w:sz="4" w:space="0" w:color="000000"/>
              <w:left w:val="single" w:sz="4" w:space="0" w:color="000000"/>
              <w:bottom w:val="single" w:sz="4" w:space="0" w:color="000000"/>
              <w:right w:val="single" w:sz="4" w:space="0" w:color="000000"/>
            </w:tcBorders>
          </w:tcPr>
          <w:p w:rsidR="00A86D7D" w:rsidRPr="00A86D7D" w:rsidRDefault="00A86D7D" w:rsidP="008C1960">
            <w:pPr>
              <w:tabs>
                <w:tab w:val="center" w:pos="4153"/>
                <w:tab w:val="right" w:pos="8306"/>
              </w:tabs>
              <w:rPr>
                <w:rFonts w:ascii="Arial" w:hAnsi="Arial" w:cs="Arial"/>
                <w:lang w:eastAsia="en-GB"/>
              </w:rPr>
            </w:pPr>
            <w:r w:rsidRPr="00A86D7D">
              <w:rPr>
                <w:rFonts w:ascii="Arial" w:hAnsi="Arial" w:cs="Arial"/>
                <w:lang w:eastAsia="en-GB"/>
              </w:rPr>
              <w:t>The Tenderer has provided a strong methodology addressing all the key points listed above in sufficient detail providing confidence that the requirements can be met in full.</w:t>
            </w:r>
          </w:p>
        </w:tc>
      </w:tr>
      <w:tr w:rsidR="00A86D7D" w:rsidRPr="00A86D7D" w:rsidTr="008C1960">
        <w:tc>
          <w:tcPr>
            <w:tcW w:w="2442" w:type="dxa"/>
            <w:tcBorders>
              <w:top w:val="single" w:sz="4" w:space="0" w:color="000000"/>
              <w:left w:val="single" w:sz="4" w:space="0" w:color="000000"/>
              <w:bottom w:val="single" w:sz="4" w:space="0" w:color="000000"/>
              <w:right w:val="single" w:sz="4" w:space="0" w:color="000000"/>
            </w:tcBorders>
            <w:vAlign w:val="center"/>
            <w:hideMark/>
          </w:tcPr>
          <w:p w:rsidR="00A86D7D" w:rsidRPr="00A86D7D" w:rsidRDefault="00A86D7D" w:rsidP="008C1960">
            <w:pPr>
              <w:tabs>
                <w:tab w:val="center" w:pos="4153"/>
                <w:tab w:val="right" w:pos="8306"/>
              </w:tabs>
              <w:rPr>
                <w:rFonts w:ascii="Arial" w:hAnsi="Arial" w:cs="Arial"/>
                <w:b/>
                <w:lang w:eastAsia="en-GB"/>
              </w:rPr>
            </w:pPr>
            <w:r w:rsidRPr="00A86D7D">
              <w:rPr>
                <w:rFonts w:ascii="Arial" w:hAnsi="Arial" w:cs="Arial"/>
                <w:b/>
                <w:lang w:eastAsia="en-GB"/>
              </w:rPr>
              <w:t>2 - Acceptable</w:t>
            </w:r>
          </w:p>
        </w:tc>
        <w:tc>
          <w:tcPr>
            <w:tcW w:w="6774" w:type="dxa"/>
            <w:tcBorders>
              <w:top w:val="single" w:sz="4" w:space="0" w:color="000000"/>
              <w:left w:val="single" w:sz="4" w:space="0" w:color="000000"/>
              <w:bottom w:val="single" w:sz="4" w:space="0" w:color="000000"/>
              <w:right w:val="single" w:sz="4" w:space="0" w:color="000000"/>
            </w:tcBorders>
          </w:tcPr>
          <w:p w:rsidR="00A86D7D" w:rsidRPr="00A86D7D" w:rsidRDefault="00A86D7D" w:rsidP="008C1960">
            <w:pPr>
              <w:tabs>
                <w:tab w:val="center" w:pos="4153"/>
                <w:tab w:val="right" w:pos="8306"/>
              </w:tabs>
              <w:rPr>
                <w:rFonts w:ascii="Arial" w:hAnsi="Arial" w:cs="Arial"/>
                <w:lang w:eastAsia="en-GB"/>
              </w:rPr>
            </w:pPr>
            <w:r w:rsidRPr="00A86D7D">
              <w:rPr>
                <w:rFonts w:ascii="Arial" w:hAnsi="Arial" w:cs="Arial"/>
                <w:lang w:eastAsia="en-GB"/>
              </w:rPr>
              <w:t>The Tenderer has provided an acceptable methodology addressing most of the key points listed above in detail OR the Tenderer has provided all the key points listed above but lacks detail in answering the question fully. The response provides confidence that the requirements can be met.</w:t>
            </w:r>
          </w:p>
        </w:tc>
      </w:tr>
      <w:tr w:rsidR="00A86D7D" w:rsidRPr="00A86D7D" w:rsidTr="008C1960">
        <w:tc>
          <w:tcPr>
            <w:tcW w:w="2442" w:type="dxa"/>
            <w:tcBorders>
              <w:top w:val="single" w:sz="4" w:space="0" w:color="000000"/>
              <w:left w:val="single" w:sz="4" w:space="0" w:color="000000"/>
              <w:bottom w:val="single" w:sz="4" w:space="0" w:color="000000"/>
              <w:right w:val="single" w:sz="4" w:space="0" w:color="000000"/>
            </w:tcBorders>
            <w:vAlign w:val="center"/>
            <w:hideMark/>
          </w:tcPr>
          <w:p w:rsidR="00A86D7D" w:rsidRPr="00A86D7D" w:rsidRDefault="00A86D7D" w:rsidP="008C1960">
            <w:pPr>
              <w:tabs>
                <w:tab w:val="center" w:pos="4153"/>
                <w:tab w:val="right" w:pos="8306"/>
              </w:tabs>
              <w:rPr>
                <w:rFonts w:ascii="Arial" w:hAnsi="Arial" w:cs="Arial"/>
                <w:b/>
                <w:lang w:eastAsia="en-GB"/>
              </w:rPr>
            </w:pPr>
            <w:r w:rsidRPr="00A86D7D">
              <w:rPr>
                <w:rFonts w:ascii="Arial" w:hAnsi="Arial" w:cs="Arial"/>
                <w:b/>
                <w:lang w:eastAsia="en-GB"/>
              </w:rPr>
              <w:t>1 - Minor Concerns</w:t>
            </w:r>
          </w:p>
        </w:tc>
        <w:tc>
          <w:tcPr>
            <w:tcW w:w="6774" w:type="dxa"/>
            <w:tcBorders>
              <w:top w:val="single" w:sz="4" w:space="0" w:color="000000"/>
              <w:left w:val="single" w:sz="4" w:space="0" w:color="000000"/>
              <w:bottom w:val="single" w:sz="4" w:space="0" w:color="000000"/>
              <w:right w:val="single" w:sz="4" w:space="0" w:color="000000"/>
            </w:tcBorders>
          </w:tcPr>
          <w:p w:rsidR="00A86D7D" w:rsidRPr="00A86D7D" w:rsidRDefault="00A86D7D" w:rsidP="008C1960">
            <w:pPr>
              <w:tabs>
                <w:tab w:val="center" w:pos="4153"/>
                <w:tab w:val="right" w:pos="8306"/>
              </w:tabs>
              <w:rPr>
                <w:rFonts w:ascii="Arial" w:hAnsi="Arial" w:cs="Arial"/>
                <w:lang w:eastAsia="en-GB"/>
              </w:rPr>
            </w:pPr>
            <w:r w:rsidRPr="00A86D7D">
              <w:rPr>
                <w:rFonts w:ascii="Arial" w:hAnsi="Arial" w:cs="Arial"/>
                <w:lang w:eastAsia="en-GB"/>
              </w:rPr>
              <w:t>The Tenderer has provided a methodology addressing some of the key points listed above in detail OR the Tenderer has provided most of the key points listed above but lacks detail. The response provided does not provide confidence fully that the requirements can be met.</w:t>
            </w:r>
          </w:p>
        </w:tc>
      </w:tr>
      <w:tr w:rsidR="00A86D7D" w:rsidRPr="00A86D7D" w:rsidTr="008C1960">
        <w:tc>
          <w:tcPr>
            <w:tcW w:w="2442" w:type="dxa"/>
            <w:tcBorders>
              <w:top w:val="single" w:sz="4" w:space="0" w:color="000000"/>
              <w:left w:val="single" w:sz="4" w:space="0" w:color="000000"/>
              <w:bottom w:val="single" w:sz="4" w:space="0" w:color="000000"/>
              <w:right w:val="single" w:sz="4" w:space="0" w:color="000000"/>
            </w:tcBorders>
            <w:vAlign w:val="center"/>
            <w:hideMark/>
          </w:tcPr>
          <w:p w:rsidR="00A86D7D" w:rsidRPr="00A86D7D" w:rsidRDefault="00A86D7D" w:rsidP="008C1960">
            <w:pPr>
              <w:tabs>
                <w:tab w:val="center" w:pos="4153"/>
                <w:tab w:val="right" w:pos="8306"/>
              </w:tabs>
              <w:rPr>
                <w:rFonts w:ascii="Arial" w:hAnsi="Arial" w:cs="Arial"/>
                <w:b/>
                <w:lang w:eastAsia="en-GB"/>
              </w:rPr>
            </w:pPr>
            <w:r w:rsidRPr="00A86D7D">
              <w:rPr>
                <w:rFonts w:ascii="Arial" w:hAnsi="Arial" w:cs="Arial"/>
                <w:b/>
                <w:lang w:eastAsia="en-GB"/>
              </w:rPr>
              <w:t>0 - Major Concerns</w:t>
            </w:r>
          </w:p>
        </w:tc>
        <w:tc>
          <w:tcPr>
            <w:tcW w:w="6774" w:type="dxa"/>
            <w:tcBorders>
              <w:top w:val="single" w:sz="4" w:space="0" w:color="000000"/>
              <w:left w:val="single" w:sz="4" w:space="0" w:color="000000"/>
              <w:bottom w:val="single" w:sz="4" w:space="0" w:color="000000"/>
              <w:right w:val="single" w:sz="4" w:space="0" w:color="000000"/>
            </w:tcBorders>
          </w:tcPr>
          <w:p w:rsidR="00A86D7D" w:rsidRPr="00A86D7D" w:rsidRDefault="00A86D7D" w:rsidP="008C1960">
            <w:pPr>
              <w:tabs>
                <w:tab w:val="center" w:pos="4153"/>
                <w:tab w:val="right" w:pos="8306"/>
              </w:tabs>
              <w:rPr>
                <w:rFonts w:ascii="Arial" w:hAnsi="Arial" w:cs="Arial"/>
                <w:lang w:eastAsia="en-GB"/>
              </w:rPr>
            </w:pPr>
            <w:r w:rsidRPr="00A86D7D">
              <w:rPr>
                <w:rFonts w:ascii="Arial" w:hAnsi="Arial" w:cs="Arial"/>
                <w:lang w:eastAsia="en-GB"/>
              </w:rPr>
              <w:t>The Tenderer has failed to address the question, submitted a nil response or any element of the response gives cause for major concern.</w:t>
            </w:r>
          </w:p>
        </w:tc>
      </w:tr>
    </w:tbl>
    <w:p w:rsidR="00A86D7D" w:rsidRPr="00DA65D5" w:rsidRDefault="00A86D7D" w:rsidP="00B560C8">
      <w:pPr>
        <w:shd w:val="clear" w:color="auto" w:fill="FFFFFF"/>
        <w:spacing w:before="120" w:after="120" w:line="288" w:lineRule="auto"/>
        <w:jc w:val="both"/>
        <w:rPr>
          <w:rFonts w:ascii="Arial" w:eastAsia="Times New Roman" w:hAnsi="Arial" w:cs="Arial"/>
          <w:color w:val="000000"/>
          <w:lang w:val="en-GB"/>
        </w:rPr>
      </w:pPr>
    </w:p>
    <w:p w:rsidR="00C01C43" w:rsidRDefault="00C01C43" w:rsidP="00527521">
      <w:pPr>
        <w:shd w:val="clear" w:color="auto" w:fill="FFFFFF"/>
        <w:spacing w:before="120" w:after="120" w:line="288" w:lineRule="auto"/>
        <w:jc w:val="both"/>
        <w:rPr>
          <w:rFonts w:ascii="Arial" w:eastAsia="Times New Roman" w:hAnsi="Arial" w:cs="Arial"/>
          <w:b/>
          <w:bCs/>
          <w:color w:val="000000"/>
          <w:u w:val="single"/>
          <w:lang w:val="en-GB"/>
        </w:rPr>
      </w:pPr>
    </w:p>
    <w:p w:rsidR="00C01C43" w:rsidRDefault="00C01C43" w:rsidP="00527521">
      <w:pPr>
        <w:shd w:val="clear" w:color="auto" w:fill="FFFFFF"/>
        <w:spacing w:before="120" w:after="120" w:line="288" w:lineRule="auto"/>
        <w:jc w:val="both"/>
        <w:rPr>
          <w:rFonts w:ascii="Arial" w:eastAsia="Times New Roman" w:hAnsi="Arial" w:cs="Arial"/>
          <w:b/>
          <w:bCs/>
          <w:color w:val="000000"/>
          <w:u w:val="single"/>
          <w:lang w:val="en-GB"/>
        </w:rPr>
      </w:pPr>
    </w:p>
    <w:p w:rsidR="00B641BC" w:rsidRPr="00B641BC" w:rsidRDefault="00A4686E" w:rsidP="00527521">
      <w:pPr>
        <w:shd w:val="clear" w:color="auto" w:fill="FFFFFF"/>
        <w:spacing w:before="120" w:after="120" w:line="288" w:lineRule="auto"/>
        <w:jc w:val="both"/>
        <w:rPr>
          <w:rFonts w:ascii="Arial" w:eastAsia="Times New Roman" w:hAnsi="Arial" w:cs="Arial"/>
          <w:b/>
          <w:bCs/>
          <w:color w:val="000000"/>
          <w:u w:val="single"/>
          <w:lang w:val="en-GB"/>
        </w:rPr>
      </w:pPr>
      <w:r>
        <w:rPr>
          <w:rFonts w:ascii="Arial" w:eastAsia="Times New Roman" w:hAnsi="Arial" w:cs="Arial"/>
          <w:b/>
          <w:bCs/>
          <w:color w:val="000000"/>
          <w:u w:val="single"/>
          <w:lang w:val="en-GB"/>
        </w:rPr>
        <w:lastRenderedPageBreak/>
        <w:t>During the E</w:t>
      </w:r>
      <w:r w:rsidR="00B641BC" w:rsidRPr="00B641BC">
        <w:rPr>
          <w:rFonts w:ascii="Arial" w:eastAsia="Times New Roman" w:hAnsi="Arial" w:cs="Arial"/>
          <w:b/>
          <w:bCs/>
          <w:color w:val="000000"/>
          <w:u w:val="single"/>
          <w:lang w:val="en-GB"/>
        </w:rPr>
        <w:t>valuation Process</w:t>
      </w:r>
    </w:p>
    <w:p w:rsidR="00527521" w:rsidRPr="00527521" w:rsidRDefault="00527521" w:rsidP="00527521">
      <w:pPr>
        <w:shd w:val="clear" w:color="auto" w:fill="FFFFFF"/>
        <w:spacing w:before="120" w:after="120" w:line="288" w:lineRule="auto"/>
        <w:jc w:val="both"/>
        <w:rPr>
          <w:rFonts w:ascii="Arial" w:eastAsia="Times New Roman" w:hAnsi="Arial" w:cs="Arial"/>
          <w:b/>
          <w:bCs/>
          <w:color w:val="000000"/>
          <w:lang w:val="en-GB"/>
        </w:rPr>
      </w:pPr>
      <w:r w:rsidRPr="00527521">
        <w:rPr>
          <w:rFonts w:ascii="Arial" w:eastAsia="Times New Roman" w:hAnsi="Arial" w:cs="Arial"/>
          <w:b/>
          <w:bCs/>
          <w:color w:val="000000"/>
          <w:lang w:val="en-GB"/>
        </w:rPr>
        <w:t>Do's and Don’ts of Tender Evaluation</w:t>
      </w:r>
    </w:p>
    <w:tbl>
      <w:tblPr>
        <w:tblW w:w="0" w:type="auto"/>
        <w:tblInd w:w="6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751"/>
        <w:gridCol w:w="4533"/>
      </w:tblGrid>
      <w:tr w:rsidR="00527521" w:rsidRPr="00527521" w:rsidTr="00E97739">
        <w:trPr>
          <w:trHeight w:val="420"/>
          <w:tblHeader/>
        </w:trPr>
        <w:tc>
          <w:tcPr>
            <w:tcW w:w="4820" w:type="dxa"/>
            <w:tcBorders>
              <w:top w:val="single" w:sz="6" w:space="0" w:color="AAAAAA"/>
              <w:left w:val="single" w:sz="6" w:space="0" w:color="AAAAAA"/>
              <w:bottom w:val="single" w:sz="6" w:space="0" w:color="AAAAAA"/>
              <w:right w:val="single" w:sz="6" w:space="0" w:color="AAAAAA"/>
            </w:tcBorders>
            <w:shd w:val="clear" w:color="auto" w:fill="auto"/>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center"/>
              <w:rPr>
                <w:rFonts w:ascii="Arial" w:eastAsia="Times New Roman" w:hAnsi="Arial" w:cs="Arial"/>
                <w:b/>
                <w:bCs/>
                <w:color w:val="000000"/>
              </w:rPr>
            </w:pPr>
            <w:r w:rsidRPr="00527521">
              <w:rPr>
                <w:rFonts w:ascii="Arial" w:eastAsia="Times New Roman" w:hAnsi="Arial" w:cs="Arial"/>
                <w:b/>
                <w:bCs/>
                <w:color w:val="000000"/>
              </w:rPr>
              <w:t>Do</w:t>
            </w:r>
          </w:p>
        </w:tc>
        <w:tc>
          <w:tcPr>
            <w:tcW w:w="4600" w:type="dxa"/>
            <w:tcBorders>
              <w:top w:val="single" w:sz="6" w:space="0" w:color="AAAAAA"/>
              <w:left w:val="single" w:sz="6" w:space="0" w:color="AAAAAA"/>
              <w:bottom w:val="single" w:sz="6" w:space="0" w:color="AAAAAA"/>
              <w:right w:val="single" w:sz="6" w:space="0" w:color="AAAAAA"/>
            </w:tcBorders>
            <w:shd w:val="clear" w:color="auto" w:fill="auto"/>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center"/>
              <w:rPr>
                <w:rFonts w:ascii="Arial" w:eastAsia="Times New Roman" w:hAnsi="Arial" w:cs="Arial"/>
                <w:b/>
                <w:bCs/>
                <w:color w:val="000000"/>
              </w:rPr>
            </w:pPr>
            <w:r w:rsidRPr="00527521">
              <w:rPr>
                <w:rFonts w:ascii="Arial" w:eastAsia="Times New Roman" w:hAnsi="Arial" w:cs="Arial"/>
                <w:b/>
                <w:bCs/>
                <w:color w:val="000000"/>
              </w:rPr>
              <w:t>Don't</w:t>
            </w:r>
          </w:p>
        </w:tc>
      </w:tr>
      <w:tr w:rsidR="00527521" w:rsidRPr="00527521" w:rsidTr="00E97739">
        <w:tc>
          <w:tcPr>
            <w:tcW w:w="482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color w:val="000000"/>
              </w:rPr>
            </w:pPr>
            <w:r w:rsidRPr="00527521">
              <w:rPr>
                <w:rFonts w:ascii="Arial" w:eastAsia="Times New Roman" w:hAnsi="Arial" w:cs="Arial"/>
                <w:color w:val="000000"/>
              </w:rPr>
              <w:t>Make note of areas that are unclear for clarification with the bidder</w:t>
            </w:r>
          </w:p>
        </w:tc>
        <w:tc>
          <w:tcPr>
            <w:tcW w:w="460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color w:val="000000"/>
              </w:rPr>
            </w:pPr>
            <w:r w:rsidRPr="00527521">
              <w:rPr>
                <w:rFonts w:ascii="Arial" w:eastAsia="Times New Roman" w:hAnsi="Arial" w:cs="Arial"/>
                <w:color w:val="000000"/>
              </w:rPr>
              <w:t>'Read between the lines' or make assumptions</w:t>
            </w:r>
          </w:p>
        </w:tc>
      </w:tr>
      <w:tr w:rsidR="00527521" w:rsidRPr="00527521" w:rsidTr="00E97739">
        <w:tc>
          <w:tcPr>
            <w:tcW w:w="482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color w:val="000000"/>
              </w:rPr>
            </w:pPr>
            <w:r w:rsidRPr="00527521">
              <w:rPr>
                <w:rFonts w:ascii="Arial" w:eastAsia="Times New Roman" w:hAnsi="Arial" w:cs="Arial"/>
                <w:color w:val="000000"/>
              </w:rPr>
              <w:t xml:space="preserve">Read the submission at face value and score </w:t>
            </w:r>
            <w:r w:rsidR="00C01C43" w:rsidRPr="00527521">
              <w:rPr>
                <w:rFonts w:ascii="Arial" w:eastAsia="Times New Roman" w:hAnsi="Arial" w:cs="Arial"/>
                <w:color w:val="000000"/>
              </w:rPr>
              <w:t>based on</w:t>
            </w:r>
            <w:r w:rsidRPr="00527521">
              <w:rPr>
                <w:rFonts w:ascii="Arial" w:eastAsia="Times New Roman" w:hAnsi="Arial" w:cs="Arial"/>
                <w:color w:val="000000"/>
              </w:rPr>
              <w:t xml:space="preserve"> the information provided</w:t>
            </w:r>
          </w:p>
        </w:tc>
        <w:tc>
          <w:tcPr>
            <w:tcW w:w="460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color w:val="000000"/>
              </w:rPr>
            </w:pPr>
            <w:r w:rsidRPr="00527521">
              <w:rPr>
                <w:rFonts w:ascii="Arial" w:eastAsia="Times New Roman" w:hAnsi="Arial" w:cs="Arial"/>
                <w:color w:val="000000"/>
              </w:rPr>
              <w:t>Collude with other panel members to agree scoring collectively</w:t>
            </w:r>
          </w:p>
        </w:tc>
      </w:tr>
      <w:tr w:rsidR="00527521" w:rsidRPr="00527521" w:rsidTr="00E97739">
        <w:trPr>
          <w:trHeight w:val="940"/>
        </w:trPr>
        <w:tc>
          <w:tcPr>
            <w:tcW w:w="482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color w:val="000000"/>
              </w:rPr>
            </w:pPr>
            <w:r w:rsidRPr="00527521">
              <w:rPr>
                <w:rFonts w:ascii="Arial" w:eastAsia="Times New Roman" w:hAnsi="Arial" w:cs="Arial"/>
                <w:color w:val="000000"/>
              </w:rPr>
              <w:t>Score tenders independently and discuss any irregularities at a Tender Evaluation Meeting</w:t>
            </w:r>
          </w:p>
        </w:tc>
        <w:tc>
          <w:tcPr>
            <w:tcW w:w="460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color w:val="000000"/>
              </w:rPr>
            </w:pPr>
            <w:r w:rsidRPr="00527521">
              <w:rPr>
                <w:rFonts w:ascii="Arial" w:eastAsia="Times New Roman" w:hAnsi="Arial" w:cs="Arial"/>
                <w:color w:val="000000"/>
              </w:rPr>
              <w:t>Make changes to the evaluation criteria during the process - the criteria MUST be the same as that published in the ITT</w:t>
            </w:r>
          </w:p>
        </w:tc>
      </w:tr>
      <w:tr w:rsidR="00527521" w:rsidRPr="00527521" w:rsidTr="00E97739">
        <w:tc>
          <w:tcPr>
            <w:tcW w:w="482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b/>
                <w:color w:val="000000"/>
              </w:rPr>
            </w:pPr>
            <w:r w:rsidRPr="00527521">
              <w:rPr>
                <w:rFonts w:ascii="Arial" w:eastAsia="Times New Roman" w:hAnsi="Arial" w:cs="Arial"/>
                <w:b/>
                <w:color w:val="000000"/>
              </w:rPr>
              <w:t>Ensure full justification for scoring is provided for each question to assist with debriefing</w:t>
            </w:r>
          </w:p>
        </w:tc>
        <w:tc>
          <w:tcPr>
            <w:tcW w:w="4600"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color w:val="000000"/>
              </w:rPr>
            </w:pPr>
            <w:r w:rsidRPr="00527521">
              <w:rPr>
                <w:rFonts w:ascii="Arial" w:eastAsia="Times New Roman" w:hAnsi="Arial" w:cs="Arial"/>
                <w:color w:val="000000"/>
              </w:rPr>
              <w:t> </w:t>
            </w:r>
          </w:p>
        </w:tc>
      </w:tr>
    </w:tbl>
    <w:p w:rsidR="00E97739" w:rsidRDefault="00E97739" w:rsidP="00527521">
      <w:pPr>
        <w:shd w:val="clear" w:color="auto" w:fill="FFFFFF"/>
        <w:spacing w:before="120" w:after="120" w:line="288" w:lineRule="auto"/>
        <w:jc w:val="both"/>
        <w:rPr>
          <w:rFonts w:ascii="Arial" w:eastAsia="Times New Roman" w:hAnsi="Arial" w:cs="Arial"/>
          <w:color w:val="000000"/>
          <w:lang w:val="en-GB"/>
        </w:rPr>
      </w:pPr>
    </w:p>
    <w:p w:rsidR="00B641BC" w:rsidRPr="00527521" w:rsidRDefault="00B641BC" w:rsidP="00527521">
      <w:pPr>
        <w:shd w:val="clear" w:color="auto" w:fill="FFFFFF"/>
        <w:spacing w:before="120" w:after="120" w:line="288" w:lineRule="auto"/>
        <w:jc w:val="both"/>
        <w:rPr>
          <w:rFonts w:ascii="Arial" w:eastAsia="Times New Roman" w:hAnsi="Arial" w:cs="Arial"/>
          <w:color w:val="000000"/>
          <w:lang w:val="en-GB"/>
        </w:rPr>
      </w:pPr>
      <w:r>
        <w:rPr>
          <w:rFonts w:ascii="Arial" w:eastAsia="Times New Roman" w:hAnsi="Arial" w:cs="Arial"/>
          <w:color w:val="000000"/>
          <w:lang w:val="en-GB"/>
        </w:rPr>
        <w:t>A justification should be provided against each scored question that provides evidence the Bidder has met the key points within the Guidance Section.</w:t>
      </w:r>
    </w:p>
    <w:p w:rsidR="00527521" w:rsidRPr="00527521" w:rsidRDefault="00527521" w:rsidP="00527521">
      <w:pPr>
        <w:shd w:val="clear" w:color="auto" w:fill="FFFFFF"/>
        <w:spacing w:before="120" w:after="120" w:line="288" w:lineRule="auto"/>
        <w:jc w:val="both"/>
        <w:rPr>
          <w:rFonts w:ascii="Arial" w:eastAsia="Times New Roman" w:hAnsi="Arial" w:cs="Arial"/>
          <w:b/>
          <w:color w:val="000000"/>
          <w:lang w:val="en-GB"/>
        </w:rPr>
      </w:pPr>
      <w:r w:rsidRPr="00527521">
        <w:rPr>
          <w:rFonts w:ascii="Arial" w:eastAsia="Times New Roman" w:hAnsi="Arial" w:cs="Arial"/>
          <w:b/>
          <w:color w:val="000000"/>
          <w:lang w:val="en-GB"/>
        </w:rPr>
        <w:t>Examples of Satisfactory and Unsatisfactory justifications</w:t>
      </w:r>
    </w:p>
    <w:tbl>
      <w:tblPr>
        <w:tblW w:w="0" w:type="auto"/>
        <w:tblInd w:w="60"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890"/>
        <w:gridCol w:w="4394"/>
      </w:tblGrid>
      <w:tr w:rsidR="00527521" w:rsidRPr="00527521" w:rsidTr="00E97739">
        <w:trPr>
          <w:tblHeader/>
        </w:trPr>
        <w:tc>
          <w:tcPr>
            <w:tcW w:w="4962" w:type="dxa"/>
            <w:tcBorders>
              <w:top w:val="single" w:sz="6" w:space="0" w:color="AAAAAA"/>
              <w:left w:val="single" w:sz="6" w:space="0" w:color="AAAAAA"/>
              <w:bottom w:val="single" w:sz="6" w:space="0" w:color="AAAAAA"/>
              <w:right w:val="single" w:sz="6" w:space="0" w:color="AAAAAA"/>
            </w:tcBorders>
            <w:shd w:val="clear" w:color="auto" w:fill="auto"/>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center"/>
              <w:rPr>
                <w:rFonts w:ascii="Arial" w:eastAsia="Times New Roman" w:hAnsi="Arial" w:cs="Arial"/>
                <w:b/>
                <w:bCs/>
                <w:color w:val="000000"/>
              </w:rPr>
            </w:pPr>
            <w:r w:rsidRPr="00527521">
              <w:rPr>
                <w:rFonts w:ascii="Arial" w:eastAsia="Times New Roman" w:hAnsi="Arial" w:cs="Arial"/>
                <w:b/>
                <w:bCs/>
                <w:color w:val="000000"/>
              </w:rPr>
              <w:t>Satisfactory</w:t>
            </w:r>
          </w:p>
        </w:tc>
        <w:tc>
          <w:tcPr>
            <w:tcW w:w="4458" w:type="dxa"/>
            <w:tcBorders>
              <w:top w:val="single" w:sz="6" w:space="0" w:color="AAAAAA"/>
              <w:left w:val="single" w:sz="6" w:space="0" w:color="AAAAAA"/>
              <w:bottom w:val="single" w:sz="6" w:space="0" w:color="AAAAAA"/>
              <w:right w:val="single" w:sz="6" w:space="0" w:color="AAAAAA"/>
            </w:tcBorders>
            <w:shd w:val="clear" w:color="auto" w:fill="auto"/>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center"/>
              <w:rPr>
                <w:rFonts w:ascii="Arial" w:eastAsia="Times New Roman" w:hAnsi="Arial" w:cs="Arial"/>
                <w:b/>
                <w:bCs/>
                <w:color w:val="000000"/>
              </w:rPr>
            </w:pPr>
            <w:r w:rsidRPr="00527521">
              <w:rPr>
                <w:rFonts w:ascii="Arial" w:eastAsia="Times New Roman" w:hAnsi="Arial" w:cs="Arial"/>
                <w:b/>
                <w:bCs/>
                <w:color w:val="000000"/>
              </w:rPr>
              <w:t>Unsatisfactory</w:t>
            </w:r>
          </w:p>
        </w:tc>
      </w:tr>
      <w:tr w:rsidR="00527521" w:rsidRPr="00527521" w:rsidTr="00E97739">
        <w:tc>
          <w:tcPr>
            <w:tcW w:w="496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E97739">
            <w:pPr>
              <w:shd w:val="clear" w:color="auto" w:fill="FFFFFF"/>
              <w:spacing w:before="120" w:after="120" w:line="240" w:lineRule="auto"/>
              <w:jc w:val="both"/>
              <w:rPr>
                <w:rFonts w:ascii="Arial" w:eastAsia="Times New Roman" w:hAnsi="Arial" w:cs="Arial"/>
                <w:color w:val="000000"/>
              </w:rPr>
            </w:pPr>
            <w:r w:rsidRPr="00527521">
              <w:rPr>
                <w:rFonts w:ascii="Arial" w:eastAsia="Times New Roman" w:hAnsi="Arial" w:cs="Arial"/>
                <w:color w:val="000000"/>
              </w:rPr>
              <w:t>The bidder has exceeded the minimum standards of services and/or quality of goods by …..(Give examples on the specifics of the bid that is over and above the minimum requirements of the specification)</w:t>
            </w:r>
          </w:p>
        </w:tc>
        <w:tc>
          <w:tcPr>
            <w:tcW w:w="445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b/>
                <w:color w:val="000000"/>
              </w:rPr>
            </w:pPr>
            <w:r w:rsidRPr="00527521">
              <w:rPr>
                <w:rFonts w:ascii="Arial" w:eastAsia="Times New Roman" w:hAnsi="Arial" w:cs="Arial"/>
                <w:b/>
                <w:color w:val="000000"/>
              </w:rPr>
              <w:t>Excellent Response</w:t>
            </w:r>
          </w:p>
        </w:tc>
      </w:tr>
      <w:tr w:rsidR="00527521" w:rsidRPr="00527521" w:rsidTr="00E97739">
        <w:tc>
          <w:tcPr>
            <w:tcW w:w="496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E97739">
            <w:pPr>
              <w:shd w:val="clear" w:color="auto" w:fill="FFFFFF"/>
              <w:spacing w:before="120" w:after="120" w:line="240" w:lineRule="auto"/>
              <w:jc w:val="both"/>
              <w:rPr>
                <w:rFonts w:ascii="Arial" w:eastAsia="Times New Roman" w:hAnsi="Arial" w:cs="Arial"/>
                <w:color w:val="000000"/>
              </w:rPr>
            </w:pPr>
            <w:r w:rsidRPr="00527521">
              <w:rPr>
                <w:rFonts w:ascii="Arial" w:eastAsia="Times New Roman" w:hAnsi="Arial" w:cs="Arial"/>
                <w:color w:val="000000"/>
              </w:rPr>
              <w:t>The bidder has demonstrated good understanding of the services/goods/works by providing information including…..(Give specific examples of why you thought it was a good answer)</w:t>
            </w:r>
          </w:p>
        </w:tc>
        <w:tc>
          <w:tcPr>
            <w:tcW w:w="445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b/>
                <w:color w:val="000000"/>
              </w:rPr>
            </w:pPr>
            <w:r w:rsidRPr="00527521">
              <w:rPr>
                <w:rFonts w:ascii="Arial" w:eastAsia="Times New Roman" w:hAnsi="Arial" w:cs="Arial"/>
                <w:b/>
                <w:color w:val="000000"/>
              </w:rPr>
              <w:t>Good Response</w:t>
            </w:r>
          </w:p>
        </w:tc>
      </w:tr>
      <w:tr w:rsidR="00527521" w:rsidRPr="00527521" w:rsidTr="00E97739">
        <w:tc>
          <w:tcPr>
            <w:tcW w:w="496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E97739">
            <w:pPr>
              <w:shd w:val="clear" w:color="auto" w:fill="FFFFFF"/>
              <w:spacing w:before="120" w:after="120" w:line="240" w:lineRule="auto"/>
              <w:jc w:val="both"/>
              <w:rPr>
                <w:rFonts w:ascii="Arial" w:eastAsia="Times New Roman" w:hAnsi="Arial" w:cs="Arial"/>
                <w:color w:val="000000"/>
              </w:rPr>
            </w:pPr>
            <w:r w:rsidRPr="00527521">
              <w:rPr>
                <w:rFonts w:ascii="Arial" w:eastAsia="Times New Roman" w:hAnsi="Arial" w:cs="Arial"/>
                <w:color w:val="000000"/>
              </w:rPr>
              <w:t>The bidder met the criteria of the specification, the bid was a basic response due to the lack of information on…..(Give examples of what was missing from the bid, what could they have done better)</w:t>
            </w:r>
          </w:p>
        </w:tc>
        <w:tc>
          <w:tcPr>
            <w:tcW w:w="445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b/>
                <w:color w:val="000000"/>
              </w:rPr>
            </w:pPr>
            <w:r w:rsidRPr="00527521">
              <w:rPr>
                <w:rFonts w:ascii="Arial" w:eastAsia="Times New Roman" w:hAnsi="Arial" w:cs="Arial"/>
                <w:b/>
                <w:color w:val="000000"/>
              </w:rPr>
              <w:t>Ok</w:t>
            </w:r>
          </w:p>
        </w:tc>
      </w:tr>
      <w:tr w:rsidR="00527521" w:rsidRPr="00527521" w:rsidTr="00E97739">
        <w:tc>
          <w:tcPr>
            <w:tcW w:w="496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color w:val="000000"/>
              </w:rPr>
            </w:pPr>
            <w:r w:rsidRPr="00527521">
              <w:rPr>
                <w:rFonts w:ascii="Arial" w:eastAsia="Times New Roman" w:hAnsi="Arial" w:cs="Arial"/>
                <w:color w:val="000000"/>
              </w:rPr>
              <w:lastRenderedPageBreak/>
              <w:t>The answer provided did not demonstrate an understanding of the services/goods/works required, (Give examples of why you feel the answer did not meet the criteria, what was missing, what could they have done better)</w:t>
            </w:r>
          </w:p>
        </w:tc>
        <w:tc>
          <w:tcPr>
            <w:tcW w:w="4458"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rsidR="00527521" w:rsidRPr="00527521" w:rsidRDefault="00527521" w:rsidP="00527521">
            <w:pPr>
              <w:shd w:val="clear" w:color="auto" w:fill="FFFFFF"/>
              <w:spacing w:before="120" w:after="120" w:line="240" w:lineRule="auto"/>
              <w:jc w:val="both"/>
              <w:rPr>
                <w:rFonts w:ascii="Arial" w:eastAsia="Times New Roman" w:hAnsi="Arial" w:cs="Arial"/>
                <w:b/>
                <w:color w:val="000000"/>
              </w:rPr>
            </w:pPr>
            <w:r w:rsidRPr="00527521">
              <w:rPr>
                <w:rFonts w:ascii="Arial" w:eastAsia="Times New Roman" w:hAnsi="Arial" w:cs="Arial"/>
                <w:b/>
                <w:color w:val="000000"/>
              </w:rPr>
              <w:t>Not enough information/Never answered the question.</w:t>
            </w:r>
          </w:p>
        </w:tc>
      </w:tr>
    </w:tbl>
    <w:p w:rsidR="004A6D15" w:rsidRDefault="00C119B9" w:rsidP="00527521">
      <w:pPr>
        <w:shd w:val="clear" w:color="auto" w:fill="FFFFFF"/>
        <w:spacing w:before="240" w:after="240" w:line="288" w:lineRule="auto"/>
        <w:jc w:val="both"/>
        <w:rPr>
          <w:rFonts w:ascii="Arial" w:eastAsia="Times New Roman" w:hAnsi="Arial" w:cs="Arial"/>
          <w:color w:val="000000"/>
          <w:lang w:val="en-GB"/>
        </w:rPr>
      </w:pPr>
      <w:r>
        <w:rPr>
          <w:rFonts w:ascii="Arial" w:eastAsia="Times New Roman" w:hAnsi="Arial" w:cs="Arial"/>
          <w:color w:val="000000"/>
          <w:lang w:val="en-GB"/>
        </w:rPr>
        <w:t xml:space="preserve">Once they have completed their evaluation, </w:t>
      </w:r>
      <w:r w:rsidR="003708C5">
        <w:rPr>
          <w:rFonts w:ascii="Arial" w:eastAsia="Times New Roman" w:hAnsi="Arial" w:cs="Arial"/>
          <w:color w:val="000000"/>
          <w:lang w:val="en-GB"/>
        </w:rPr>
        <w:t>each</w:t>
      </w:r>
      <w:r>
        <w:rPr>
          <w:rFonts w:ascii="Arial" w:eastAsia="Times New Roman" w:hAnsi="Arial" w:cs="Arial"/>
          <w:color w:val="000000"/>
          <w:lang w:val="en-GB"/>
        </w:rPr>
        <w:t xml:space="preserve"> </w:t>
      </w:r>
      <w:r w:rsidR="00BD38F4">
        <w:rPr>
          <w:rFonts w:ascii="Arial" w:eastAsia="Times New Roman" w:hAnsi="Arial" w:cs="Arial"/>
          <w:color w:val="000000"/>
          <w:lang w:val="en-GB"/>
        </w:rPr>
        <w:t xml:space="preserve">panel member should </w:t>
      </w:r>
      <w:r w:rsidR="00C92A27">
        <w:rPr>
          <w:rFonts w:ascii="Arial" w:eastAsia="Times New Roman" w:hAnsi="Arial" w:cs="Arial"/>
          <w:color w:val="000000"/>
          <w:lang w:val="en-GB"/>
        </w:rPr>
        <w:t>inform Procurement</w:t>
      </w:r>
      <w:r>
        <w:rPr>
          <w:rFonts w:ascii="Arial" w:eastAsia="Times New Roman" w:hAnsi="Arial" w:cs="Arial"/>
          <w:color w:val="000000"/>
          <w:lang w:val="en-GB"/>
        </w:rPr>
        <w:t xml:space="preserve">.  </w:t>
      </w:r>
      <w:r w:rsidR="00C92A27">
        <w:rPr>
          <w:rFonts w:ascii="Arial" w:eastAsia="Times New Roman" w:hAnsi="Arial" w:cs="Arial"/>
          <w:color w:val="000000"/>
          <w:lang w:val="en-GB"/>
        </w:rPr>
        <w:t>Procurement</w:t>
      </w:r>
      <w:r w:rsidR="00BD38F4">
        <w:rPr>
          <w:rFonts w:ascii="Arial" w:eastAsia="Times New Roman" w:hAnsi="Arial" w:cs="Arial"/>
          <w:color w:val="000000"/>
          <w:lang w:val="en-GB"/>
        </w:rPr>
        <w:t xml:space="preserve"> will then review the scores and assess whether a consensus meeting is required to complete the evaluation.  If a consensus meeting is required</w:t>
      </w:r>
      <w:r w:rsidR="00C01C43">
        <w:rPr>
          <w:rFonts w:ascii="Arial" w:eastAsia="Times New Roman" w:hAnsi="Arial" w:cs="Arial"/>
          <w:color w:val="000000"/>
          <w:lang w:val="en-GB"/>
        </w:rPr>
        <w:t>,</w:t>
      </w:r>
      <w:r>
        <w:rPr>
          <w:rFonts w:ascii="Arial" w:eastAsia="Times New Roman" w:hAnsi="Arial" w:cs="Arial"/>
          <w:color w:val="000000"/>
          <w:lang w:val="en-GB"/>
        </w:rPr>
        <w:t xml:space="preserve"> the panel of </w:t>
      </w:r>
      <w:r w:rsidR="000610EC" w:rsidRPr="000610EC">
        <w:rPr>
          <w:rFonts w:ascii="Arial" w:eastAsia="Times New Roman" w:hAnsi="Arial" w:cs="Arial"/>
          <w:color w:val="000000"/>
          <w:lang w:val="en-GB"/>
        </w:rPr>
        <w:t xml:space="preserve">evaluators </w:t>
      </w:r>
      <w:r>
        <w:rPr>
          <w:rFonts w:ascii="Arial" w:eastAsia="Times New Roman" w:hAnsi="Arial" w:cs="Arial"/>
          <w:color w:val="000000"/>
          <w:lang w:val="en-GB"/>
        </w:rPr>
        <w:t xml:space="preserve">will meet </w:t>
      </w:r>
      <w:r w:rsidR="000610EC" w:rsidRPr="000610EC">
        <w:rPr>
          <w:rFonts w:ascii="Arial" w:eastAsia="Times New Roman" w:hAnsi="Arial" w:cs="Arial"/>
          <w:color w:val="000000"/>
          <w:lang w:val="en-GB"/>
        </w:rPr>
        <w:t>to agree the final scores. Th</w:t>
      </w:r>
      <w:r>
        <w:rPr>
          <w:rFonts w:ascii="Arial" w:eastAsia="Times New Roman" w:hAnsi="Arial" w:cs="Arial"/>
          <w:color w:val="000000"/>
          <w:lang w:val="en-GB"/>
        </w:rPr>
        <w:t xml:space="preserve">is </w:t>
      </w:r>
      <w:r w:rsidR="000610EC" w:rsidRPr="000610EC">
        <w:rPr>
          <w:rFonts w:ascii="Arial" w:eastAsia="Times New Roman" w:hAnsi="Arial" w:cs="Arial"/>
          <w:color w:val="000000"/>
          <w:lang w:val="en-GB"/>
        </w:rPr>
        <w:t xml:space="preserve">process to agree the final scores must be fully transparent and documented. </w:t>
      </w:r>
    </w:p>
    <w:p w:rsidR="00C119B9" w:rsidRDefault="00C119B9" w:rsidP="00C119B9">
      <w:pPr>
        <w:shd w:val="clear" w:color="auto" w:fill="FFFFFF"/>
        <w:spacing w:before="240" w:after="120" w:line="288" w:lineRule="auto"/>
        <w:jc w:val="both"/>
        <w:rPr>
          <w:rFonts w:ascii="Arial" w:eastAsia="Times New Roman" w:hAnsi="Arial" w:cs="Arial"/>
          <w:b/>
          <w:color w:val="000000"/>
          <w:lang w:val="en-GB"/>
        </w:rPr>
      </w:pPr>
      <w:r w:rsidRPr="00C119B9">
        <w:rPr>
          <w:rFonts w:ascii="Arial" w:eastAsia="Times New Roman" w:hAnsi="Arial" w:cs="Arial"/>
          <w:b/>
          <w:color w:val="000000"/>
          <w:lang w:val="en-GB"/>
        </w:rPr>
        <w:t>The Commercial Evaluation</w:t>
      </w:r>
      <w:r>
        <w:rPr>
          <w:rFonts w:ascii="Arial" w:eastAsia="Times New Roman" w:hAnsi="Arial" w:cs="Arial"/>
          <w:b/>
          <w:color w:val="000000"/>
          <w:lang w:val="en-GB"/>
        </w:rPr>
        <w:t xml:space="preserve"> </w:t>
      </w:r>
    </w:p>
    <w:p w:rsidR="00DA65D5" w:rsidRPr="00DA65D5" w:rsidRDefault="00C92A27" w:rsidP="00FF3C94">
      <w:pPr>
        <w:shd w:val="clear" w:color="auto" w:fill="FFFFFF"/>
        <w:spacing w:before="120" w:after="240" w:line="288" w:lineRule="auto"/>
        <w:jc w:val="both"/>
        <w:rPr>
          <w:rFonts w:ascii="Arial" w:eastAsia="Times New Roman" w:hAnsi="Arial" w:cs="Arial"/>
          <w:color w:val="000000"/>
          <w:lang w:val="en-GB"/>
        </w:rPr>
      </w:pPr>
      <w:r>
        <w:rPr>
          <w:rFonts w:ascii="Arial" w:eastAsia="Times New Roman" w:hAnsi="Arial" w:cs="Arial"/>
          <w:color w:val="000000"/>
          <w:lang w:val="en-GB"/>
        </w:rPr>
        <w:t>Procurement</w:t>
      </w:r>
      <w:r w:rsidR="000610EC" w:rsidRPr="000610EC">
        <w:rPr>
          <w:rFonts w:ascii="Arial" w:eastAsia="Times New Roman" w:hAnsi="Arial" w:cs="Arial"/>
          <w:color w:val="000000"/>
          <w:lang w:val="en-GB"/>
        </w:rPr>
        <w:t xml:space="preserve"> </w:t>
      </w:r>
      <w:r w:rsidR="00C119B9">
        <w:rPr>
          <w:rFonts w:ascii="Arial" w:eastAsia="Times New Roman" w:hAnsi="Arial" w:cs="Arial"/>
          <w:color w:val="000000"/>
          <w:lang w:val="en-GB"/>
        </w:rPr>
        <w:t xml:space="preserve">will </w:t>
      </w:r>
      <w:r w:rsidR="000610EC" w:rsidRPr="000610EC">
        <w:rPr>
          <w:rFonts w:ascii="Arial" w:eastAsia="Times New Roman" w:hAnsi="Arial" w:cs="Arial"/>
          <w:color w:val="000000"/>
          <w:lang w:val="en-GB"/>
        </w:rPr>
        <w:t xml:space="preserve">evaluate the </w:t>
      </w:r>
      <w:r w:rsidR="00C119B9">
        <w:rPr>
          <w:rFonts w:ascii="Arial" w:eastAsia="Times New Roman" w:hAnsi="Arial" w:cs="Arial"/>
          <w:color w:val="000000"/>
          <w:lang w:val="en-GB"/>
        </w:rPr>
        <w:t xml:space="preserve">price or </w:t>
      </w:r>
      <w:r w:rsidR="000610EC" w:rsidRPr="000610EC">
        <w:rPr>
          <w:rFonts w:ascii="Arial" w:eastAsia="Times New Roman" w:hAnsi="Arial" w:cs="Arial"/>
          <w:color w:val="000000"/>
          <w:lang w:val="en-GB"/>
        </w:rPr>
        <w:t>commercial aspects of the tenders separately</w:t>
      </w:r>
      <w:r w:rsidR="00C119B9">
        <w:rPr>
          <w:rFonts w:ascii="Arial" w:eastAsia="Times New Roman" w:hAnsi="Arial" w:cs="Arial"/>
          <w:color w:val="000000"/>
          <w:lang w:val="en-GB"/>
        </w:rPr>
        <w:t xml:space="preserve"> but may ask the panel members to check their assessment of the costs.  </w:t>
      </w:r>
      <w:r w:rsidR="000610EC" w:rsidRPr="00DA65D5">
        <w:rPr>
          <w:rFonts w:ascii="Arial" w:eastAsia="Times New Roman" w:hAnsi="Arial" w:cs="Arial"/>
          <w:b/>
          <w:bCs/>
          <w:color w:val="000000"/>
          <w:lang w:val="en-GB"/>
        </w:rPr>
        <w:t>As a matter of good practice, no member of the evaluation panel should assess both the technical elements and the commercial elements of the tender</w:t>
      </w:r>
      <w:r w:rsidR="000610EC" w:rsidRPr="000610EC">
        <w:rPr>
          <w:rFonts w:ascii="Arial" w:eastAsia="Times New Roman" w:hAnsi="Arial" w:cs="Arial"/>
          <w:color w:val="000000"/>
          <w:lang w:val="en-GB"/>
        </w:rPr>
        <w:t xml:space="preserve">. </w:t>
      </w:r>
    </w:p>
    <w:p w:rsidR="00DA65D5" w:rsidRPr="00FF3C94" w:rsidRDefault="00DA65D5" w:rsidP="00B560C8">
      <w:pPr>
        <w:shd w:val="clear" w:color="auto" w:fill="FFFFFF"/>
        <w:spacing w:before="120" w:after="120" w:line="288" w:lineRule="auto"/>
        <w:jc w:val="both"/>
        <w:outlineLvl w:val="3"/>
        <w:rPr>
          <w:rFonts w:ascii="Arial" w:eastAsia="Times New Roman" w:hAnsi="Arial" w:cs="Arial"/>
          <w:b/>
          <w:bCs/>
          <w:lang w:val="en-GB"/>
        </w:rPr>
      </w:pPr>
      <w:r w:rsidRPr="00FF3C94">
        <w:rPr>
          <w:rFonts w:ascii="Arial" w:eastAsia="Times New Roman" w:hAnsi="Arial" w:cs="Arial"/>
          <w:b/>
          <w:bCs/>
          <w:lang w:val="en-GB"/>
        </w:rPr>
        <w:t>Presentation/Site Visits</w:t>
      </w:r>
    </w:p>
    <w:p w:rsidR="00527521" w:rsidRPr="00DA65D5" w:rsidRDefault="00527521" w:rsidP="00527521">
      <w:pPr>
        <w:shd w:val="clear" w:color="auto" w:fill="FFFFFF"/>
        <w:spacing w:before="120" w:after="120" w:line="288" w:lineRule="auto"/>
        <w:jc w:val="both"/>
        <w:rPr>
          <w:rFonts w:ascii="Arial" w:eastAsia="Times New Roman" w:hAnsi="Arial" w:cs="Arial"/>
          <w:color w:val="000000"/>
          <w:lang w:val="en-GB"/>
        </w:rPr>
      </w:pPr>
      <w:r w:rsidRPr="000610EC">
        <w:rPr>
          <w:rFonts w:ascii="Arial" w:eastAsia="Times New Roman" w:hAnsi="Arial" w:cs="Arial"/>
          <w:color w:val="000000"/>
          <w:lang w:val="en-GB"/>
        </w:rPr>
        <w:t xml:space="preserve">The tender </w:t>
      </w:r>
      <w:r w:rsidRPr="000610EC">
        <w:rPr>
          <w:rFonts w:ascii="Arial" w:eastAsia="Times New Roman" w:hAnsi="Arial" w:cs="Arial"/>
          <w:lang w:val="en-GB"/>
        </w:rPr>
        <w:t xml:space="preserve">evaluation stage may be accompanied </w:t>
      </w:r>
      <w:r w:rsidRPr="00DA65D5">
        <w:rPr>
          <w:rFonts w:ascii="Arial" w:eastAsia="Times New Roman" w:hAnsi="Arial" w:cs="Arial"/>
          <w:lang w:val="en-GB"/>
        </w:rPr>
        <w:t>by presentations</w:t>
      </w:r>
      <w:r w:rsidR="00C01C43">
        <w:rPr>
          <w:rFonts w:ascii="Arial" w:eastAsia="Times New Roman" w:hAnsi="Arial" w:cs="Arial"/>
          <w:lang w:val="en-GB"/>
        </w:rPr>
        <w:t xml:space="preserve">, </w:t>
      </w:r>
      <w:r w:rsidRPr="00DA65D5">
        <w:rPr>
          <w:rFonts w:ascii="Arial" w:eastAsia="Times New Roman" w:hAnsi="Arial" w:cs="Arial"/>
          <w:lang w:val="en-GB"/>
        </w:rPr>
        <w:t>off site visits and</w:t>
      </w:r>
      <w:r w:rsidR="00C01C43">
        <w:rPr>
          <w:rFonts w:ascii="Arial" w:eastAsia="Times New Roman" w:hAnsi="Arial" w:cs="Arial"/>
          <w:lang w:val="en-GB"/>
        </w:rPr>
        <w:t>/or</w:t>
      </w:r>
      <w:r w:rsidRPr="00DA65D5">
        <w:rPr>
          <w:rFonts w:ascii="Arial" w:eastAsia="Times New Roman" w:hAnsi="Arial" w:cs="Arial"/>
          <w:lang w:val="en-GB"/>
        </w:rPr>
        <w:t xml:space="preserve"> clarification meetings.</w:t>
      </w:r>
    </w:p>
    <w:p w:rsidR="00DA65D5" w:rsidRPr="001A32CF" w:rsidRDefault="00DA65D5" w:rsidP="00B560C8">
      <w:pPr>
        <w:shd w:val="clear" w:color="auto" w:fill="FFFFFF"/>
        <w:spacing w:before="120" w:after="120" w:line="288" w:lineRule="auto"/>
        <w:jc w:val="both"/>
        <w:rPr>
          <w:rFonts w:ascii="Arial" w:eastAsia="Times New Roman" w:hAnsi="Arial" w:cs="Arial"/>
          <w:color w:val="000000"/>
          <w:lang w:val="en-GB"/>
        </w:rPr>
      </w:pPr>
      <w:r w:rsidRPr="001A32CF">
        <w:rPr>
          <w:rFonts w:ascii="Arial" w:eastAsia="Times New Roman" w:hAnsi="Arial" w:cs="Arial"/>
          <w:color w:val="000000"/>
          <w:lang w:val="en-GB"/>
        </w:rPr>
        <w:t xml:space="preserve">Presentations and </w:t>
      </w:r>
      <w:r w:rsidR="0041437A">
        <w:rPr>
          <w:rFonts w:ascii="Arial" w:eastAsia="Times New Roman" w:hAnsi="Arial" w:cs="Arial"/>
          <w:color w:val="000000"/>
          <w:lang w:val="en-GB"/>
        </w:rPr>
        <w:t xml:space="preserve">external </w:t>
      </w:r>
      <w:r w:rsidRPr="001A32CF">
        <w:rPr>
          <w:rFonts w:ascii="Arial" w:eastAsia="Times New Roman" w:hAnsi="Arial" w:cs="Arial"/>
          <w:color w:val="000000"/>
          <w:lang w:val="en-GB"/>
        </w:rPr>
        <w:t>site visits can be included as part of the evaluation process to offer the opportunity for the evaluation panel to gain a clearer and deeper understanding of the tenderers</w:t>
      </w:r>
      <w:r w:rsidR="00C01C43">
        <w:rPr>
          <w:rFonts w:ascii="Arial" w:eastAsia="Times New Roman" w:hAnsi="Arial" w:cs="Arial"/>
          <w:color w:val="000000"/>
          <w:lang w:val="en-GB"/>
        </w:rPr>
        <w:t>’</w:t>
      </w:r>
      <w:r w:rsidRPr="001A32CF">
        <w:rPr>
          <w:rFonts w:ascii="Arial" w:eastAsia="Times New Roman" w:hAnsi="Arial" w:cs="Arial"/>
          <w:color w:val="000000"/>
          <w:lang w:val="en-GB"/>
        </w:rPr>
        <w:t xml:space="preserve"> proposal</w:t>
      </w:r>
      <w:r w:rsidR="00C01C43">
        <w:rPr>
          <w:rFonts w:ascii="Arial" w:eastAsia="Times New Roman" w:hAnsi="Arial" w:cs="Arial"/>
          <w:color w:val="000000"/>
          <w:lang w:val="en-GB"/>
        </w:rPr>
        <w:t>s</w:t>
      </w:r>
      <w:r w:rsidRPr="001A32CF">
        <w:rPr>
          <w:rFonts w:ascii="Arial" w:eastAsia="Times New Roman" w:hAnsi="Arial" w:cs="Arial"/>
          <w:color w:val="000000"/>
          <w:lang w:val="en-GB"/>
        </w:rPr>
        <w:t>.</w:t>
      </w:r>
    </w:p>
    <w:p w:rsidR="00DA65D5" w:rsidRPr="001A32CF" w:rsidRDefault="00DA65D5" w:rsidP="00B560C8">
      <w:pPr>
        <w:shd w:val="clear" w:color="auto" w:fill="FFFFFF"/>
        <w:spacing w:before="120" w:after="120" w:line="288" w:lineRule="auto"/>
        <w:jc w:val="both"/>
        <w:rPr>
          <w:rFonts w:ascii="Arial" w:eastAsia="Times New Roman" w:hAnsi="Arial" w:cs="Arial"/>
          <w:color w:val="000000"/>
          <w:lang w:val="en-GB"/>
        </w:rPr>
      </w:pPr>
      <w:r w:rsidRPr="001A32CF">
        <w:rPr>
          <w:rFonts w:ascii="Arial" w:eastAsia="Times New Roman" w:hAnsi="Arial" w:cs="Arial"/>
          <w:color w:val="000000"/>
          <w:lang w:val="en-GB"/>
        </w:rPr>
        <w:t>The purpose and anticipated outcomes of the presentations and site visits must be made clear in the Invitation to Tender (ITT) documentation including details of how the visits will count towards the overall evaluation of the tender submissions.</w:t>
      </w:r>
    </w:p>
    <w:p w:rsidR="00DA65D5" w:rsidRPr="001A32CF" w:rsidRDefault="00DA65D5" w:rsidP="00FF3C94">
      <w:pPr>
        <w:shd w:val="clear" w:color="auto" w:fill="FFFFFF"/>
        <w:spacing w:before="120" w:after="240" w:line="288" w:lineRule="auto"/>
        <w:jc w:val="both"/>
        <w:rPr>
          <w:rFonts w:ascii="Arial" w:eastAsia="Times New Roman" w:hAnsi="Arial" w:cs="Arial"/>
          <w:color w:val="000000"/>
          <w:lang w:val="en-GB"/>
        </w:rPr>
      </w:pPr>
      <w:r w:rsidRPr="001A32CF">
        <w:rPr>
          <w:rFonts w:ascii="Arial" w:eastAsia="Times New Roman" w:hAnsi="Arial" w:cs="Arial"/>
          <w:color w:val="000000"/>
          <w:lang w:val="en-GB"/>
        </w:rPr>
        <w:t>Details of any scoring for either the presentation or site visit must be pre-agreed and published with the Contract Notice and ITT documentation.</w:t>
      </w:r>
    </w:p>
    <w:p w:rsidR="005062D2" w:rsidRPr="00B13D9B" w:rsidRDefault="00B13D9B" w:rsidP="00B560C8">
      <w:pPr>
        <w:shd w:val="clear" w:color="auto" w:fill="FFFFFF"/>
        <w:spacing w:before="120" w:after="120" w:line="288" w:lineRule="auto"/>
        <w:jc w:val="both"/>
        <w:rPr>
          <w:rFonts w:ascii="Arial" w:eastAsia="Times New Roman" w:hAnsi="Arial" w:cs="Arial"/>
          <w:b/>
          <w:lang w:val="en-GB"/>
        </w:rPr>
      </w:pPr>
      <w:r>
        <w:rPr>
          <w:rFonts w:ascii="Arial" w:eastAsia="Times New Roman" w:hAnsi="Arial" w:cs="Arial"/>
          <w:b/>
          <w:lang w:val="en-GB"/>
        </w:rPr>
        <w:t>AWARD - e-evalu</w:t>
      </w:r>
      <w:r w:rsidR="005062D2" w:rsidRPr="00B13D9B">
        <w:rPr>
          <w:rFonts w:ascii="Arial" w:eastAsia="Times New Roman" w:hAnsi="Arial" w:cs="Arial"/>
          <w:b/>
          <w:lang w:val="en-GB"/>
        </w:rPr>
        <w:t xml:space="preserve">ation </w:t>
      </w:r>
      <w:r>
        <w:rPr>
          <w:rFonts w:ascii="Arial" w:eastAsia="Times New Roman" w:hAnsi="Arial" w:cs="Arial"/>
          <w:b/>
          <w:lang w:val="en-GB"/>
        </w:rPr>
        <w:t>t</w:t>
      </w:r>
      <w:r w:rsidR="005062D2" w:rsidRPr="00B13D9B">
        <w:rPr>
          <w:rFonts w:ascii="Arial" w:eastAsia="Times New Roman" w:hAnsi="Arial" w:cs="Arial"/>
          <w:b/>
          <w:lang w:val="en-GB"/>
        </w:rPr>
        <w:t>ool</w:t>
      </w:r>
    </w:p>
    <w:p w:rsidR="005062D2" w:rsidRPr="005062D2" w:rsidRDefault="005062D2" w:rsidP="00B560C8">
      <w:pPr>
        <w:shd w:val="clear" w:color="auto" w:fill="FFFFFF"/>
        <w:spacing w:before="120" w:after="120" w:line="288" w:lineRule="auto"/>
        <w:jc w:val="both"/>
        <w:rPr>
          <w:rFonts w:ascii="Arial" w:eastAsia="Times New Roman" w:hAnsi="Arial" w:cs="Arial"/>
          <w:lang w:val="en-GB"/>
        </w:rPr>
      </w:pPr>
      <w:r w:rsidRPr="005062D2">
        <w:rPr>
          <w:rFonts w:ascii="Arial" w:eastAsia="Times New Roman" w:hAnsi="Arial" w:cs="Arial"/>
          <w:lang w:val="en-GB"/>
        </w:rPr>
        <w:t xml:space="preserve">AWARD is an electronic tool for evaluation of bids </w:t>
      </w:r>
      <w:r w:rsidR="00B13D9B" w:rsidRPr="005062D2">
        <w:rPr>
          <w:rFonts w:ascii="Arial" w:eastAsia="Times New Roman" w:hAnsi="Arial" w:cs="Arial"/>
          <w:lang w:val="en-GB"/>
        </w:rPr>
        <w:t>received</w:t>
      </w:r>
      <w:r w:rsidR="00B13D9B">
        <w:rPr>
          <w:rFonts w:ascii="Arial" w:eastAsia="Times New Roman" w:hAnsi="Arial" w:cs="Arial"/>
          <w:lang w:val="en-GB"/>
        </w:rPr>
        <w:t>.  E</w:t>
      </w:r>
      <w:r w:rsidRPr="005062D2">
        <w:rPr>
          <w:rFonts w:ascii="Arial" w:eastAsia="Times New Roman" w:hAnsi="Arial" w:cs="Arial"/>
          <w:lang w:val="en-GB"/>
        </w:rPr>
        <w:t xml:space="preserve">ach member of the evaluation panel will receive an email notification </w:t>
      </w:r>
      <w:r w:rsidR="00B13D9B">
        <w:rPr>
          <w:rFonts w:ascii="Arial" w:eastAsia="Times New Roman" w:hAnsi="Arial" w:cs="Arial"/>
          <w:lang w:val="en-GB"/>
        </w:rPr>
        <w:t xml:space="preserve">that </w:t>
      </w:r>
      <w:r w:rsidRPr="005062D2">
        <w:rPr>
          <w:rFonts w:ascii="Arial" w:eastAsia="Times New Roman" w:hAnsi="Arial" w:cs="Arial"/>
          <w:lang w:val="en-GB"/>
        </w:rPr>
        <w:t xml:space="preserve">the </w:t>
      </w:r>
      <w:r w:rsidR="00B13D9B">
        <w:rPr>
          <w:rFonts w:ascii="Arial" w:eastAsia="Times New Roman" w:hAnsi="Arial" w:cs="Arial"/>
          <w:lang w:val="en-GB"/>
        </w:rPr>
        <w:t>b</w:t>
      </w:r>
      <w:r w:rsidRPr="005062D2">
        <w:rPr>
          <w:rFonts w:ascii="Arial" w:eastAsia="Times New Roman" w:hAnsi="Arial" w:cs="Arial"/>
          <w:lang w:val="en-GB"/>
        </w:rPr>
        <w:t>id</w:t>
      </w:r>
      <w:r w:rsidR="00B13D9B">
        <w:rPr>
          <w:rFonts w:ascii="Arial" w:eastAsia="Times New Roman" w:hAnsi="Arial" w:cs="Arial"/>
          <w:lang w:val="en-GB"/>
        </w:rPr>
        <w:t xml:space="preserve">s are </w:t>
      </w:r>
      <w:r w:rsidRPr="005062D2">
        <w:rPr>
          <w:rFonts w:ascii="Arial" w:eastAsia="Times New Roman" w:hAnsi="Arial" w:cs="Arial"/>
          <w:lang w:val="en-GB"/>
        </w:rPr>
        <w:t>available to start the eval</w:t>
      </w:r>
      <w:r>
        <w:rPr>
          <w:rFonts w:ascii="Arial" w:eastAsia="Times New Roman" w:hAnsi="Arial" w:cs="Arial"/>
          <w:lang w:val="en-GB"/>
        </w:rPr>
        <w:t>uation.</w:t>
      </w:r>
    </w:p>
    <w:p w:rsidR="005062D2" w:rsidRPr="005062D2" w:rsidRDefault="005062D2" w:rsidP="00B560C8">
      <w:pPr>
        <w:shd w:val="clear" w:color="auto" w:fill="FFFFFF"/>
        <w:spacing w:before="120" w:after="120" w:line="288" w:lineRule="auto"/>
        <w:jc w:val="both"/>
        <w:rPr>
          <w:rFonts w:ascii="Arial" w:eastAsia="Times New Roman" w:hAnsi="Arial" w:cs="Arial"/>
          <w:lang w:val="en-GB"/>
        </w:rPr>
      </w:pPr>
      <w:r w:rsidRPr="005062D2">
        <w:rPr>
          <w:rFonts w:ascii="Arial" w:eastAsia="Times New Roman" w:hAnsi="Arial" w:cs="Arial"/>
          <w:lang w:val="en-GB"/>
        </w:rPr>
        <w:t xml:space="preserve">Further training and guidance on the utilisation of AWARD will be provided by </w:t>
      </w:r>
      <w:r w:rsidR="00C92A27">
        <w:rPr>
          <w:rFonts w:ascii="Arial" w:eastAsia="Times New Roman" w:hAnsi="Arial" w:cs="Arial"/>
          <w:lang w:val="en-GB"/>
        </w:rPr>
        <w:t>Procurement.</w:t>
      </w:r>
    </w:p>
    <w:sectPr w:rsidR="005062D2" w:rsidRPr="005062D2" w:rsidSect="000C091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BB8" w:rsidRDefault="00C64BB8" w:rsidP="000610EC">
      <w:pPr>
        <w:spacing w:after="0" w:line="240" w:lineRule="auto"/>
      </w:pPr>
      <w:r>
        <w:separator/>
      </w:r>
    </w:p>
  </w:endnote>
  <w:endnote w:type="continuationSeparator" w:id="0">
    <w:p w:rsidR="00C64BB8" w:rsidRDefault="00C64BB8" w:rsidP="0006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3E6" w:rsidRPr="00E83330" w:rsidRDefault="004D03E6" w:rsidP="004D03E6">
    <w:pPr>
      <w:pStyle w:val="Footer"/>
      <w:rPr>
        <w:sz w:val="18"/>
      </w:rPr>
    </w:pPr>
    <w:r>
      <w:rPr>
        <w:sz w:val="18"/>
      </w:rPr>
      <w:t>Reviewed May 2023</w:t>
    </w:r>
  </w:p>
  <w:p w:rsidR="004D03E6" w:rsidRDefault="004D0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3E6" w:rsidRPr="00E83330" w:rsidRDefault="004D03E6" w:rsidP="004D03E6">
    <w:pPr>
      <w:pStyle w:val="Footer"/>
      <w:rPr>
        <w:sz w:val="18"/>
      </w:rPr>
    </w:pPr>
    <w:r>
      <w:rPr>
        <w:sz w:val="18"/>
      </w:rPr>
      <w:t>Reviewed May 2023</w:t>
    </w:r>
  </w:p>
  <w:p w:rsidR="004D03E6" w:rsidRDefault="004D0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C94" w:rsidRPr="00E83330" w:rsidRDefault="00B00619" w:rsidP="00E82320">
    <w:pPr>
      <w:pStyle w:val="Footer"/>
      <w:rPr>
        <w:sz w:val="18"/>
      </w:rPr>
    </w:pPr>
    <w:r>
      <w:rPr>
        <w:sz w:val="18"/>
      </w:rPr>
      <w:t xml:space="preserve">Reviewed </w:t>
    </w:r>
    <w:r w:rsidR="00E7415A">
      <w:rPr>
        <w:sz w:val="18"/>
      </w:rPr>
      <w:t>Ju</w:t>
    </w:r>
    <w:r w:rsidR="00D179E1">
      <w:rPr>
        <w:sz w:val="18"/>
      </w:rPr>
      <w:t>n</w:t>
    </w:r>
    <w:bookmarkStart w:id="0" w:name="_GoBack"/>
    <w:bookmarkEnd w:id="0"/>
    <w:r w:rsidR="004D03E6">
      <w:rPr>
        <w:sz w:val="18"/>
      </w:rPr>
      <w:t xml:space="preserve"> 2023</w:t>
    </w:r>
  </w:p>
  <w:p w:rsidR="00FF3C94" w:rsidRPr="00E82320" w:rsidRDefault="00FF3C94" w:rsidP="00E82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BB8" w:rsidRDefault="00C64BB8" w:rsidP="000610EC">
      <w:pPr>
        <w:spacing w:after="0" w:line="240" w:lineRule="auto"/>
      </w:pPr>
      <w:r>
        <w:separator/>
      </w:r>
    </w:p>
  </w:footnote>
  <w:footnote w:type="continuationSeparator" w:id="0">
    <w:p w:rsidR="00C64BB8" w:rsidRDefault="00C64BB8" w:rsidP="0006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15A" w:rsidRDefault="00E74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C94" w:rsidRPr="00E82320" w:rsidRDefault="00FF3C94">
    <w:pPr>
      <w:pStyle w:val="Header"/>
      <w:rPr>
        <w:rFonts w:ascii="Arial" w:hAnsi="Arial" w:cs="Arial"/>
        <w:b/>
        <w:szCs w:val="28"/>
      </w:rPr>
    </w:pPr>
    <w:r w:rsidRPr="00E82320">
      <w:rPr>
        <w:rFonts w:ascii="Arial" w:hAnsi="Arial" w:cs="Arial"/>
        <w:b/>
        <w:szCs w:val="28"/>
      </w:rPr>
      <w:t>Procurement Guidance – Evaluating a Tender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15A" w:rsidRDefault="00E74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A652C"/>
    <w:multiLevelType w:val="multilevel"/>
    <w:tmpl w:val="277C19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1" w15:restartNumberingAfterBreak="0">
    <w:nsid w:val="33A168B3"/>
    <w:multiLevelType w:val="multilevel"/>
    <w:tmpl w:val="25BCF598"/>
    <w:lvl w:ilvl="0">
      <w:start w:val="1"/>
      <w:numFmt w:val="decimal"/>
      <w:lvlText w:val="%1."/>
      <w:lvlJc w:val="left"/>
      <w:pPr>
        <w:ind w:left="720" w:hanging="360"/>
      </w:pPr>
    </w:lvl>
    <w:lvl w:ilvl="1">
      <w:start w:val="1"/>
      <w:numFmt w:val="decimal"/>
      <w:isLgl/>
      <w:lvlText w:val="%1.%2"/>
      <w:lvlJc w:val="left"/>
      <w:pPr>
        <w:ind w:left="792" w:hanging="432"/>
      </w:pPr>
      <w:rPr>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A3047E"/>
    <w:multiLevelType w:val="hybridMultilevel"/>
    <w:tmpl w:val="18B4F2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72D36987"/>
    <w:multiLevelType w:val="hybridMultilevel"/>
    <w:tmpl w:val="7BE6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EC"/>
    <w:rsid w:val="00010327"/>
    <w:rsid w:val="000141B1"/>
    <w:rsid w:val="000610EC"/>
    <w:rsid w:val="00087536"/>
    <w:rsid w:val="000B2700"/>
    <w:rsid w:val="000B7155"/>
    <w:rsid w:val="000C0913"/>
    <w:rsid w:val="00146362"/>
    <w:rsid w:val="0015351E"/>
    <w:rsid w:val="001A32CF"/>
    <w:rsid w:val="001B1D2F"/>
    <w:rsid w:val="001B78BA"/>
    <w:rsid w:val="001F33B6"/>
    <w:rsid w:val="00243058"/>
    <w:rsid w:val="002B66D9"/>
    <w:rsid w:val="002F22EF"/>
    <w:rsid w:val="003215E9"/>
    <w:rsid w:val="003428BF"/>
    <w:rsid w:val="0035130E"/>
    <w:rsid w:val="00355D57"/>
    <w:rsid w:val="003708C5"/>
    <w:rsid w:val="0041437A"/>
    <w:rsid w:val="00446B15"/>
    <w:rsid w:val="00474FD8"/>
    <w:rsid w:val="004A6D15"/>
    <w:rsid w:val="004B04A5"/>
    <w:rsid w:val="004C16DC"/>
    <w:rsid w:val="004D03E6"/>
    <w:rsid w:val="005062D2"/>
    <w:rsid w:val="00527521"/>
    <w:rsid w:val="00570529"/>
    <w:rsid w:val="00571812"/>
    <w:rsid w:val="005E275C"/>
    <w:rsid w:val="00645308"/>
    <w:rsid w:val="00705E38"/>
    <w:rsid w:val="0072543A"/>
    <w:rsid w:val="0075173B"/>
    <w:rsid w:val="007804EC"/>
    <w:rsid w:val="007E3151"/>
    <w:rsid w:val="008112CF"/>
    <w:rsid w:val="00861BD2"/>
    <w:rsid w:val="008C1960"/>
    <w:rsid w:val="008C7243"/>
    <w:rsid w:val="009949D4"/>
    <w:rsid w:val="00A25140"/>
    <w:rsid w:val="00A3238B"/>
    <w:rsid w:val="00A44139"/>
    <w:rsid w:val="00A4584D"/>
    <w:rsid w:val="00A4686E"/>
    <w:rsid w:val="00A477CE"/>
    <w:rsid w:val="00A86D7D"/>
    <w:rsid w:val="00AD2CCA"/>
    <w:rsid w:val="00B00619"/>
    <w:rsid w:val="00B13D9B"/>
    <w:rsid w:val="00B26DC6"/>
    <w:rsid w:val="00B4166A"/>
    <w:rsid w:val="00B54B09"/>
    <w:rsid w:val="00B560C8"/>
    <w:rsid w:val="00B641BC"/>
    <w:rsid w:val="00B65AE6"/>
    <w:rsid w:val="00B70D5F"/>
    <w:rsid w:val="00BA712A"/>
    <w:rsid w:val="00BD38F4"/>
    <w:rsid w:val="00BE7FAA"/>
    <w:rsid w:val="00C01C43"/>
    <w:rsid w:val="00C119B9"/>
    <w:rsid w:val="00C64BB8"/>
    <w:rsid w:val="00C92A27"/>
    <w:rsid w:val="00C95F5D"/>
    <w:rsid w:val="00CB4F56"/>
    <w:rsid w:val="00D179E1"/>
    <w:rsid w:val="00DA65D5"/>
    <w:rsid w:val="00DF4D44"/>
    <w:rsid w:val="00DF7586"/>
    <w:rsid w:val="00E157AD"/>
    <w:rsid w:val="00E30D80"/>
    <w:rsid w:val="00E7415A"/>
    <w:rsid w:val="00E82320"/>
    <w:rsid w:val="00E97739"/>
    <w:rsid w:val="00EF3A33"/>
    <w:rsid w:val="00F261E2"/>
    <w:rsid w:val="00F33231"/>
    <w:rsid w:val="00FB3E5A"/>
    <w:rsid w:val="00FF3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FCB284E"/>
  <w15:docId w15:val="{C82D3CF7-C1B9-420D-8EA9-719549EA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4A5"/>
    <w:pPr>
      <w:spacing w:after="200" w:line="276" w:lineRule="auto"/>
    </w:pPr>
    <w:rPr>
      <w:sz w:val="22"/>
      <w:szCs w:val="22"/>
      <w:lang w:val="en-US" w:eastAsia="en-US"/>
    </w:rPr>
  </w:style>
  <w:style w:type="paragraph" w:styleId="Heading5">
    <w:name w:val="heading 5"/>
    <w:basedOn w:val="Normal"/>
    <w:link w:val="Heading5Char"/>
    <w:uiPriority w:val="9"/>
    <w:qFormat/>
    <w:rsid w:val="000610EC"/>
    <w:pPr>
      <w:spacing w:after="96" w:line="240" w:lineRule="auto"/>
      <w:outlineLvl w:val="4"/>
    </w:pPr>
    <w:rPr>
      <w:rFonts w:ascii="Times New Roman" w:eastAsia="Times New Roman" w:hAnsi="Times New Roman"/>
      <w:b/>
      <w:bCs/>
      <w:color w:val="335183"/>
      <w:sz w:val="31"/>
      <w:szCs w:val="31"/>
    </w:rPr>
  </w:style>
  <w:style w:type="paragraph" w:styleId="Heading6">
    <w:name w:val="heading 6"/>
    <w:basedOn w:val="Normal"/>
    <w:link w:val="Heading6Char"/>
    <w:uiPriority w:val="9"/>
    <w:qFormat/>
    <w:rsid w:val="000610EC"/>
    <w:pPr>
      <w:spacing w:after="0" w:line="240" w:lineRule="auto"/>
      <w:outlineLvl w:val="5"/>
    </w:pPr>
    <w:rPr>
      <w:rFonts w:ascii="Times New Roman" w:eastAsia="Times New Roman" w:hAnsi="Times New Roman"/>
      <w:b/>
      <w:bCs/>
      <w:color w:val="335183"/>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0EC"/>
  </w:style>
  <w:style w:type="paragraph" w:styleId="Footer">
    <w:name w:val="footer"/>
    <w:basedOn w:val="Normal"/>
    <w:link w:val="FooterChar"/>
    <w:uiPriority w:val="99"/>
    <w:unhideWhenUsed/>
    <w:rsid w:val="0006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0EC"/>
  </w:style>
  <w:style w:type="character" w:customStyle="1" w:styleId="Heading5Char">
    <w:name w:val="Heading 5 Char"/>
    <w:link w:val="Heading5"/>
    <w:uiPriority w:val="9"/>
    <w:rsid w:val="000610EC"/>
    <w:rPr>
      <w:rFonts w:ascii="Times New Roman" w:eastAsia="Times New Roman" w:hAnsi="Times New Roman" w:cs="Times New Roman"/>
      <w:b/>
      <w:bCs/>
      <w:color w:val="335183"/>
      <w:sz w:val="31"/>
      <w:szCs w:val="31"/>
    </w:rPr>
  </w:style>
  <w:style w:type="character" w:customStyle="1" w:styleId="Heading6Char">
    <w:name w:val="Heading 6 Char"/>
    <w:link w:val="Heading6"/>
    <w:uiPriority w:val="9"/>
    <w:rsid w:val="000610EC"/>
    <w:rPr>
      <w:rFonts w:ascii="Times New Roman" w:eastAsia="Times New Roman" w:hAnsi="Times New Roman" w:cs="Times New Roman"/>
      <w:b/>
      <w:bCs/>
      <w:color w:val="335183"/>
      <w:sz w:val="31"/>
      <w:szCs w:val="31"/>
    </w:rPr>
  </w:style>
  <w:style w:type="character" w:styleId="Hyperlink">
    <w:name w:val="Hyperlink"/>
    <w:uiPriority w:val="99"/>
    <w:unhideWhenUsed/>
    <w:rsid w:val="000610EC"/>
    <w:rPr>
      <w:color w:val="0065BD"/>
      <w:u w:val="single"/>
    </w:rPr>
  </w:style>
  <w:style w:type="character" w:styleId="Strong">
    <w:name w:val="Strong"/>
    <w:uiPriority w:val="22"/>
    <w:qFormat/>
    <w:rsid w:val="000610EC"/>
    <w:rPr>
      <w:b/>
      <w:bCs/>
    </w:rPr>
  </w:style>
  <w:style w:type="paragraph" w:customStyle="1" w:styleId="left1">
    <w:name w:val="left1"/>
    <w:basedOn w:val="Normal"/>
    <w:rsid w:val="000610EC"/>
    <w:pPr>
      <w:spacing w:before="100" w:beforeAutospacing="1" w:after="240" w:line="240" w:lineRule="auto"/>
    </w:pPr>
    <w:rPr>
      <w:rFonts w:ascii="Times New Roman" w:eastAsia="Times New Roman" w:hAnsi="Times New Roman"/>
      <w:color w:val="000000"/>
      <w:sz w:val="31"/>
      <w:szCs w:val="31"/>
    </w:rPr>
  </w:style>
  <w:style w:type="paragraph" w:styleId="BalloonText">
    <w:name w:val="Balloon Text"/>
    <w:basedOn w:val="Normal"/>
    <w:link w:val="BalloonTextChar"/>
    <w:uiPriority w:val="99"/>
    <w:semiHidden/>
    <w:unhideWhenUsed/>
    <w:rsid w:val="000610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10EC"/>
    <w:rPr>
      <w:rFonts w:ascii="Tahoma" w:hAnsi="Tahoma" w:cs="Tahoma"/>
      <w:sz w:val="16"/>
      <w:szCs w:val="16"/>
    </w:rPr>
  </w:style>
  <w:style w:type="character" w:styleId="CommentReference">
    <w:name w:val="annotation reference"/>
    <w:semiHidden/>
    <w:unhideWhenUsed/>
    <w:rsid w:val="00A86D7D"/>
    <w:rPr>
      <w:sz w:val="16"/>
      <w:szCs w:val="16"/>
    </w:rPr>
  </w:style>
  <w:style w:type="paragraph" w:styleId="CommentText">
    <w:name w:val="annotation text"/>
    <w:basedOn w:val="Normal"/>
    <w:link w:val="CommentTextChar"/>
    <w:uiPriority w:val="99"/>
    <w:semiHidden/>
    <w:unhideWhenUsed/>
    <w:rsid w:val="00A86D7D"/>
    <w:pPr>
      <w:tabs>
        <w:tab w:val="left" w:pos="720"/>
        <w:tab w:val="left" w:pos="1440"/>
        <w:tab w:val="left" w:pos="2160"/>
        <w:tab w:val="right" w:pos="8505"/>
      </w:tabs>
      <w:spacing w:after="0" w:line="240" w:lineRule="auto"/>
      <w:jc w:val="both"/>
    </w:pPr>
    <w:rPr>
      <w:rFonts w:ascii="Arial" w:eastAsia="Times New Roman" w:hAnsi="Arial"/>
      <w:sz w:val="20"/>
      <w:szCs w:val="20"/>
      <w:lang w:val="en-GB"/>
    </w:rPr>
  </w:style>
  <w:style w:type="character" w:customStyle="1" w:styleId="CommentTextChar">
    <w:name w:val="Comment Text Char"/>
    <w:link w:val="CommentText"/>
    <w:uiPriority w:val="99"/>
    <w:semiHidden/>
    <w:rsid w:val="00A86D7D"/>
    <w:rPr>
      <w:rFonts w:ascii="Arial" w:eastAsia="Times New Roman" w:hAnsi="Arial"/>
      <w:lang w:eastAsia="en-US"/>
    </w:rPr>
  </w:style>
  <w:style w:type="paragraph" w:styleId="ListParagraph">
    <w:name w:val="List Paragraph"/>
    <w:basedOn w:val="Normal"/>
    <w:uiPriority w:val="34"/>
    <w:qFormat/>
    <w:rsid w:val="000B7155"/>
    <w:pPr>
      <w:ind w:left="720"/>
      <w:contextualSpacing/>
    </w:pPr>
  </w:style>
  <w:style w:type="character" w:styleId="FollowedHyperlink">
    <w:name w:val="FollowedHyperlink"/>
    <w:basedOn w:val="DefaultParagraphFont"/>
    <w:uiPriority w:val="99"/>
    <w:semiHidden/>
    <w:unhideWhenUsed/>
    <w:rsid w:val="001B1D2F"/>
    <w:rPr>
      <w:color w:val="800080" w:themeColor="followedHyperlink"/>
      <w:u w:val="single"/>
    </w:rPr>
  </w:style>
  <w:style w:type="character" w:styleId="UnresolvedMention">
    <w:name w:val="Unresolved Mention"/>
    <w:basedOn w:val="DefaultParagraphFont"/>
    <w:uiPriority w:val="99"/>
    <w:semiHidden/>
    <w:unhideWhenUsed/>
    <w:rsid w:val="00FB3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70765">
      <w:bodyDiv w:val="1"/>
      <w:marLeft w:val="0"/>
      <w:marRight w:val="0"/>
      <w:marTop w:val="0"/>
      <w:marBottom w:val="0"/>
      <w:divBdr>
        <w:top w:val="none" w:sz="0" w:space="0" w:color="auto"/>
        <w:left w:val="none" w:sz="0" w:space="0" w:color="auto"/>
        <w:bottom w:val="none" w:sz="0" w:space="0" w:color="auto"/>
        <w:right w:val="none" w:sz="0" w:space="0" w:color="auto"/>
      </w:divBdr>
      <w:divsChild>
        <w:div w:id="997147673">
          <w:marLeft w:val="0"/>
          <w:marRight w:val="0"/>
          <w:marTop w:val="0"/>
          <w:marBottom w:val="0"/>
          <w:divBdr>
            <w:top w:val="none" w:sz="0" w:space="0" w:color="auto"/>
            <w:left w:val="none" w:sz="0" w:space="0" w:color="auto"/>
            <w:bottom w:val="none" w:sz="0" w:space="0" w:color="auto"/>
            <w:right w:val="none" w:sz="0" w:space="0" w:color="auto"/>
          </w:divBdr>
          <w:divsChild>
            <w:div w:id="1653756992">
              <w:marLeft w:val="0"/>
              <w:marRight w:val="0"/>
              <w:marTop w:val="0"/>
              <w:marBottom w:val="0"/>
              <w:divBdr>
                <w:top w:val="none" w:sz="0" w:space="0" w:color="auto"/>
                <w:left w:val="none" w:sz="0" w:space="0" w:color="auto"/>
                <w:bottom w:val="none" w:sz="0" w:space="0" w:color="auto"/>
                <w:right w:val="none" w:sz="0" w:space="0" w:color="auto"/>
              </w:divBdr>
              <w:divsChild>
                <w:div w:id="2000382889">
                  <w:marLeft w:val="2970"/>
                  <w:marRight w:val="0"/>
                  <w:marTop w:val="0"/>
                  <w:marBottom w:val="0"/>
                  <w:divBdr>
                    <w:top w:val="none" w:sz="0" w:space="0" w:color="auto"/>
                    <w:left w:val="none" w:sz="0" w:space="0" w:color="auto"/>
                    <w:bottom w:val="none" w:sz="0" w:space="0" w:color="auto"/>
                    <w:right w:val="none" w:sz="0" w:space="0" w:color="auto"/>
                  </w:divBdr>
                  <w:divsChild>
                    <w:div w:id="442505975">
                      <w:marLeft w:val="0"/>
                      <w:marRight w:val="0"/>
                      <w:marTop w:val="0"/>
                      <w:marBottom w:val="264"/>
                      <w:divBdr>
                        <w:top w:val="none" w:sz="0" w:space="0" w:color="auto"/>
                        <w:left w:val="none" w:sz="0" w:space="0" w:color="auto"/>
                        <w:bottom w:val="none" w:sz="0" w:space="0" w:color="auto"/>
                        <w:right w:val="none" w:sz="0" w:space="0" w:color="auto"/>
                      </w:divBdr>
                      <w:divsChild>
                        <w:div w:id="192034173">
                          <w:marLeft w:val="0"/>
                          <w:marRight w:val="0"/>
                          <w:marTop w:val="0"/>
                          <w:marBottom w:val="0"/>
                          <w:divBdr>
                            <w:top w:val="none" w:sz="0" w:space="0" w:color="auto"/>
                            <w:left w:val="none" w:sz="0" w:space="0" w:color="auto"/>
                            <w:bottom w:val="none" w:sz="0" w:space="0" w:color="auto"/>
                            <w:right w:val="none" w:sz="0" w:space="0" w:color="auto"/>
                          </w:divBdr>
                          <w:divsChild>
                            <w:div w:id="15844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18242">
      <w:bodyDiv w:val="1"/>
      <w:marLeft w:val="0"/>
      <w:marRight w:val="0"/>
      <w:marTop w:val="0"/>
      <w:marBottom w:val="0"/>
      <w:divBdr>
        <w:top w:val="none" w:sz="0" w:space="0" w:color="auto"/>
        <w:left w:val="none" w:sz="0" w:space="0" w:color="auto"/>
        <w:bottom w:val="none" w:sz="0" w:space="0" w:color="auto"/>
        <w:right w:val="none" w:sz="0" w:space="0" w:color="auto"/>
      </w:divBdr>
      <w:divsChild>
        <w:div w:id="915167535">
          <w:marLeft w:val="0"/>
          <w:marRight w:val="0"/>
          <w:marTop w:val="0"/>
          <w:marBottom w:val="0"/>
          <w:divBdr>
            <w:top w:val="none" w:sz="0" w:space="0" w:color="auto"/>
            <w:left w:val="none" w:sz="0" w:space="0" w:color="auto"/>
            <w:bottom w:val="none" w:sz="0" w:space="0" w:color="auto"/>
            <w:right w:val="none" w:sz="0" w:space="0" w:color="auto"/>
          </w:divBdr>
          <w:divsChild>
            <w:div w:id="1167792354">
              <w:marLeft w:val="0"/>
              <w:marRight w:val="0"/>
              <w:marTop w:val="0"/>
              <w:marBottom w:val="0"/>
              <w:divBdr>
                <w:top w:val="none" w:sz="0" w:space="0" w:color="auto"/>
                <w:left w:val="none" w:sz="0" w:space="0" w:color="auto"/>
                <w:bottom w:val="none" w:sz="0" w:space="0" w:color="auto"/>
                <w:right w:val="none" w:sz="0" w:space="0" w:color="auto"/>
              </w:divBdr>
              <w:divsChild>
                <w:div w:id="1155993459">
                  <w:marLeft w:val="2479"/>
                  <w:marRight w:val="0"/>
                  <w:marTop w:val="0"/>
                  <w:marBottom w:val="0"/>
                  <w:divBdr>
                    <w:top w:val="none" w:sz="0" w:space="0" w:color="auto"/>
                    <w:left w:val="none" w:sz="0" w:space="0" w:color="auto"/>
                    <w:bottom w:val="none" w:sz="0" w:space="0" w:color="auto"/>
                    <w:right w:val="none" w:sz="0" w:space="0" w:color="auto"/>
                  </w:divBdr>
                  <w:divsChild>
                    <w:div w:id="896163188">
                      <w:marLeft w:val="0"/>
                      <w:marRight w:val="0"/>
                      <w:marTop w:val="0"/>
                      <w:marBottom w:val="264"/>
                      <w:divBdr>
                        <w:top w:val="none" w:sz="0" w:space="0" w:color="auto"/>
                        <w:left w:val="none" w:sz="0" w:space="0" w:color="auto"/>
                        <w:bottom w:val="none" w:sz="0" w:space="0" w:color="auto"/>
                        <w:right w:val="none" w:sz="0" w:space="0" w:color="auto"/>
                      </w:divBdr>
                      <w:divsChild>
                        <w:div w:id="1928346526">
                          <w:marLeft w:val="0"/>
                          <w:marRight w:val="0"/>
                          <w:marTop w:val="0"/>
                          <w:marBottom w:val="0"/>
                          <w:divBdr>
                            <w:top w:val="none" w:sz="0" w:space="0" w:color="auto"/>
                            <w:left w:val="none" w:sz="0" w:space="0" w:color="auto"/>
                            <w:bottom w:val="none" w:sz="0" w:space="0" w:color="auto"/>
                            <w:right w:val="none" w:sz="0" w:space="0" w:color="auto"/>
                          </w:divBdr>
                          <w:divsChild>
                            <w:div w:id="10955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flict_of_Interest_Declaration_Form_2023.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B50AB-955B-475B-95CC-B60FFB70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AG130707</dc:creator>
  <cp:lastModifiedBy>Munday, Jasmeet</cp:lastModifiedBy>
  <cp:revision>15</cp:revision>
  <cp:lastPrinted>2014-07-29T09:15:00Z</cp:lastPrinted>
  <dcterms:created xsi:type="dcterms:W3CDTF">2021-04-15T14:30:00Z</dcterms:created>
  <dcterms:modified xsi:type="dcterms:W3CDTF">2023-06-20T10:20:00Z</dcterms:modified>
</cp:coreProperties>
</file>