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C8" w:rsidRDefault="009251C8" w:rsidP="009251C8">
      <w:pPr>
        <w:rPr>
          <w:b/>
          <w:sz w:val="28"/>
        </w:rPr>
      </w:pPr>
      <w:r>
        <w:rPr>
          <w:b/>
          <w:sz w:val="28"/>
        </w:rPr>
        <w:t xml:space="preserve">Guidance for use of Procurement Procedures Exception Form </w:t>
      </w:r>
    </w:p>
    <w:p w:rsidR="009251C8" w:rsidRDefault="009251C8" w:rsidP="009251C8">
      <w:pPr>
        <w:rPr>
          <w:b/>
          <w:sz w:val="28"/>
        </w:rPr>
      </w:pPr>
      <w:r>
        <w:rPr>
          <w:b/>
        </w:rPr>
        <w:t>(</w:t>
      </w:r>
      <w:proofErr w:type="gramStart"/>
      <w:r>
        <w:rPr>
          <w:b/>
        </w:rPr>
        <w:t>formerly</w:t>
      </w:r>
      <w:proofErr w:type="gramEnd"/>
      <w:r>
        <w:rPr>
          <w:b/>
        </w:rPr>
        <w:t xml:space="preserve"> Sole Source Justification Form)</w:t>
      </w:r>
    </w:p>
    <w:p w:rsidR="009251C8" w:rsidRDefault="009251C8" w:rsidP="009251C8">
      <w:pPr>
        <w:spacing w:after="120" w:line="240" w:lineRule="auto"/>
        <w:ind w:right="-23"/>
      </w:pPr>
      <w:r>
        <w:t xml:space="preserve">This procedure should only be used in </w:t>
      </w:r>
      <w:r>
        <w:rPr>
          <w:b/>
        </w:rPr>
        <w:t>exceptional</w:t>
      </w:r>
      <w:r>
        <w:t xml:space="preserve"> circumstances.  </w:t>
      </w:r>
    </w:p>
    <w:p w:rsidR="009251C8" w:rsidRDefault="009251C8" w:rsidP="009251C8">
      <w:pPr>
        <w:spacing w:after="120" w:line="240" w:lineRule="auto"/>
        <w:ind w:right="-23"/>
        <w:rPr>
          <w:lang w:val="en"/>
        </w:rPr>
      </w:pPr>
      <w:r>
        <w:rPr>
          <w:lang w:val="en"/>
        </w:rPr>
        <w:t xml:space="preserve">Purchases of goods and services should go through existing collaborative agreements or where no applicable agreement exists, be based on the competitive </w:t>
      </w:r>
      <w:hyperlink r:id="rId6" w:history="1">
        <w:r>
          <w:rPr>
            <w:rStyle w:val="Hyperlink"/>
            <w:lang w:val="en"/>
          </w:rPr>
          <w:t>Procurement Journey</w:t>
        </w:r>
      </w:hyperlink>
      <w:r>
        <w:rPr>
          <w:lang w:val="en"/>
        </w:rPr>
        <w:t xml:space="preserve"> process.  </w:t>
      </w:r>
    </w:p>
    <w:p w:rsidR="009251C8" w:rsidRDefault="009251C8" w:rsidP="009251C8">
      <w:pPr>
        <w:spacing w:after="120" w:line="240" w:lineRule="auto"/>
        <w:ind w:right="-23"/>
        <w:rPr>
          <w:lang w:val="en"/>
        </w:rPr>
      </w:pPr>
      <w:r>
        <w:rPr>
          <w:lang w:val="en"/>
        </w:rPr>
        <w:t xml:space="preserve">The belief that only one source of supply for goods and/or services exists may not be sufficient grounds for an exception to the procedures, as this may have to be proven by actually undertaking a tendering exercise.  </w:t>
      </w:r>
    </w:p>
    <w:p w:rsidR="009251C8" w:rsidRDefault="009251C8" w:rsidP="009251C8">
      <w:pPr>
        <w:spacing w:after="120" w:line="240" w:lineRule="auto"/>
        <w:ind w:right="-23"/>
        <w:rPr>
          <w:lang w:val="en"/>
        </w:rPr>
      </w:pPr>
      <w:r>
        <w:rPr>
          <w:lang w:val="en"/>
        </w:rPr>
        <w:t xml:space="preserve">This form may be used where there is a genuine exceptional operational reason for not using an existing collaborative agreement or for subjecting the purchase to open competition.  This must genuinely mean that there is only one supplier and not just be convenient to use a particular supplier.  Supporting evidence will need to demonstrate market testing and enquiries to other providers or provide evidence that only one supplier </w:t>
      </w:r>
      <w:proofErr w:type="gramStart"/>
      <w:r>
        <w:rPr>
          <w:lang w:val="en"/>
        </w:rPr>
        <w:t>exists</w:t>
      </w:r>
      <w:proofErr w:type="gramEnd"/>
      <w:r>
        <w:rPr>
          <w:lang w:val="en"/>
        </w:rPr>
        <w:t>.</w:t>
      </w:r>
      <w:r>
        <w:rPr>
          <w:b/>
          <w:lang w:val="en"/>
        </w:rPr>
        <w:t xml:space="preserve">  </w:t>
      </w:r>
      <w:r>
        <w:rPr>
          <w:lang w:val="en"/>
        </w:rPr>
        <w:t xml:space="preserve">This method of acquisition should not be used to avoid competition or where decisions to procure have been postponed and insufficient timelines to procure through the </w:t>
      </w:r>
      <w:hyperlink r:id="rId7" w:history="1">
        <w:r>
          <w:rPr>
            <w:rStyle w:val="Hyperlink"/>
            <w:lang w:val="en"/>
          </w:rPr>
          <w:t>Procurement Journey</w:t>
        </w:r>
      </w:hyperlink>
      <w:r>
        <w:rPr>
          <w:lang w:val="en"/>
        </w:rPr>
        <w:t xml:space="preserve"> routes exists. </w:t>
      </w:r>
    </w:p>
    <w:p w:rsidR="00295930" w:rsidRPr="00295930" w:rsidRDefault="00295930" w:rsidP="001551DD">
      <w:pPr>
        <w:spacing w:after="120" w:line="240" w:lineRule="auto"/>
        <w:ind w:right="-23"/>
        <w:rPr>
          <w:lang w:val="en"/>
        </w:rPr>
      </w:pPr>
      <w:r w:rsidRPr="00295930">
        <w:rPr>
          <w:lang w:val="en"/>
        </w:rPr>
        <w:t xml:space="preserve">It is the responsibility of the requestor to ensure that due diligence is carried out on the proposed supplier proportionate to </w:t>
      </w:r>
      <w:r>
        <w:rPr>
          <w:lang w:val="en"/>
        </w:rPr>
        <w:t xml:space="preserve">the </w:t>
      </w:r>
      <w:r w:rsidRPr="00295930">
        <w:rPr>
          <w:lang w:val="en"/>
        </w:rPr>
        <w:t>value of contract.</w:t>
      </w:r>
    </w:p>
    <w:p w:rsidR="00295930" w:rsidRDefault="00295930" w:rsidP="001551DD">
      <w:pPr>
        <w:spacing w:after="0" w:line="240" w:lineRule="auto"/>
        <w:ind w:right="-23"/>
        <w:rPr>
          <w:lang w:val="en"/>
        </w:rPr>
      </w:pPr>
      <w:r w:rsidRPr="00295930">
        <w:rPr>
          <w:lang w:val="en"/>
        </w:rPr>
        <w:t>For contracts &gt;£50k, the requestor must liaise at an early stage with procurement for advice on due diligence requirements including co</w:t>
      </w:r>
      <w:r w:rsidR="00311E05">
        <w:rPr>
          <w:lang w:val="en"/>
        </w:rPr>
        <w:t>mpletion of the ESPD (European</w:t>
      </w:r>
      <w:r w:rsidRPr="00295930">
        <w:rPr>
          <w:lang w:val="en"/>
        </w:rPr>
        <w:t xml:space="preserve"> Single Procurement Document) and adherence to University Contract Terms and Conditions.</w:t>
      </w:r>
    </w:p>
    <w:p w:rsidR="00295930" w:rsidRDefault="00295930" w:rsidP="009251C8">
      <w:pPr>
        <w:spacing w:after="120" w:line="240" w:lineRule="auto"/>
        <w:ind w:right="-23"/>
        <w:rPr>
          <w:lang w:val="en"/>
        </w:rPr>
      </w:pPr>
    </w:p>
    <w:p w:rsidR="009251C8" w:rsidRDefault="009251C8" w:rsidP="009251C8">
      <w:pPr>
        <w:spacing w:after="120" w:line="240" w:lineRule="auto"/>
        <w:ind w:right="-23"/>
        <w:rPr>
          <w:lang w:val="en"/>
        </w:rPr>
      </w:pPr>
      <w:r>
        <w:rPr>
          <w:lang w:val="en"/>
        </w:rPr>
        <w:t>Reasons where this form shall apply:</w:t>
      </w:r>
    </w:p>
    <w:tbl>
      <w:tblPr>
        <w:tblStyle w:val="TableGrid"/>
        <w:tblW w:w="0" w:type="auto"/>
        <w:tblLook w:val="04A0" w:firstRow="1" w:lastRow="0" w:firstColumn="1" w:lastColumn="0" w:noHBand="0" w:noVBand="1"/>
      </w:tblPr>
      <w:tblGrid>
        <w:gridCol w:w="9016"/>
      </w:tblGrid>
      <w:tr w:rsidR="009251C8" w:rsidTr="009251C8">
        <w:tc>
          <w:tcPr>
            <w:tcW w:w="9016" w:type="dxa"/>
          </w:tcPr>
          <w:p w:rsidR="009251C8" w:rsidRDefault="009251C8" w:rsidP="009251C8">
            <w:pPr>
              <w:spacing w:before="100" w:beforeAutospacing="1" w:after="100" w:afterAutospacing="1" w:line="240" w:lineRule="auto"/>
              <w:rPr>
                <w:lang w:val="en"/>
              </w:rPr>
            </w:pPr>
            <w:r>
              <w:rPr>
                <w:rFonts w:cstheme="minorHAnsi"/>
                <w:color w:val="000000"/>
              </w:rPr>
              <w:t>Wh</w:t>
            </w:r>
            <w:r w:rsidRPr="009251C8">
              <w:rPr>
                <w:rFonts w:cstheme="minorHAnsi"/>
                <w:color w:val="000000"/>
              </w:rPr>
              <w:t>ere no tenders, no suitable tenders, no requests to participate or no suitable requests to participate have been submitted for a previous Open or Restricted tender exercise, provided that the initial conditions of the contract are not substantially altered. A tender shall be considered not to be suitable where it is irrelevant to the contract, being manifestly incapable, without substantial changes, of meeting the organisation’s needs and requirements as specified in the procurement documents. A request to participate shall be considered not to be suitable where the bidder has been or would been excluded or where it does not meet the selection criteria.</w:t>
            </w:r>
          </w:p>
        </w:tc>
      </w:tr>
      <w:tr w:rsidR="009251C8" w:rsidTr="009251C8">
        <w:tc>
          <w:tcPr>
            <w:tcW w:w="9016" w:type="dxa"/>
          </w:tcPr>
          <w:p w:rsidR="009251C8" w:rsidRPr="009251C8" w:rsidRDefault="009251C8" w:rsidP="009251C8">
            <w:pPr>
              <w:spacing w:before="100" w:beforeAutospacing="1" w:after="100" w:afterAutospacing="1" w:line="240" w:lineRule="auto"/>
              <w:rPr>
                <w:rFonts w:cstheme="minorHAnsi"/>
                <w:color w:val="000000"/>
              </w:rPr>
            </w:pPr>
            <w:r>
              <w:rPr>
                <w:rFonts w:cstheme="minorHAnsi"/>
                <w:color w:val="000000"/>
              </w:rPr>
              <w:t>Wh</w:t>
            </w:r>
            <w:r w:rsidRPr="009251C8">
              <w:rPr>
                <w:rFonts w:cstheme="minorHAnsi"/>
                <w:color w:val="000000"/>
              </w:rPr>
              <w:t>ere the supplies or services can be supplied only by a particular supplier for any of the following reasons:</w:t>
            </w:r>
          </w:p>
          <w:p w:rsidR="009251C8" w:rsidRDefault="009251C8" w:rsidP="009251C8">
            <w:pPr>
              <w:pStyle w:val="ListParagraph"/>
              <w:numPr>
                <w:ilvl w:val="0"/>
                <w:numId w:val="4"/>
              </w:numPr>
              <w:spacing w:before="100" w:beforeAutospacing="1" w:after="100" w:afterAutospacing="1" w:line="240" w:lineRule="auto"/>
              <w:rPr>
                <w:rFonts w:cstheme="minorHAnsi"/>
                <w:color w:val="000000"/>
              </w:rPr>
            </w:pPr>
            <w:r w:rsidRPr="009251C8">
              <w:rPr>
                <w:rFonts w:cstheme="minorHAnsi"/>
                <w:color w:val="000000"/>
              </w:rPr>
              <w:t>The aim of the procurement is the creation or acquisition of a unique work of art or artistic performance;</w:t>
            </w:r>
          </w:p>
          <w:p w:rsidR="009251C8" w:rsidRDefault="009251C8" w:rsidP="009251C8">
            <w:pPr>
              <w:pStyle w:val="ListParagraph"/>
              <w:numPr>
                <w:ilvl w:val="0"/>
                <w:numId w:val="4"/>
              </w:numPr>
              <w:spacing w:before="100" w:beforeAutospacing="1" w:after="100" w:afterAutospacing="1" w:line="240" w:lineRule="auto"/>
              <w:rPr>
                <w:rFonts w:cstheme="minorHAnsi"/>
                <w:color w:val="000000"/>
              </w:rPr>
            </w:pPr>
            <w:r w:rsidRPr="009251C8">
              <w:rPr>
                <w:rFonts w:cstheme="minorHAnsi"/>
                <w:color w:val="000000"/>
              </w:rPr>
              <w:t>Competition is absent for technical reasons (only if it is not caused by artificial narrowing down of the parameters of the procurement and no reasonable al</w:t>
            </w:r>
            <w:r>
              <w:rPr>
                <w:rFonts w:cstheme="minorHAnsi"/>
                <w:color w:val="000000"/>
              </w:rPr>
              <w:t>ternative or substitute exists);</w:t>
            </w:r>
          </w:p>
          <w:p w:rsidR="009251C8" w:rsidRDefault="009251C8" w:rsidP="009251C8">
            <w:pPr>
              <w:pStyle w:val="ListParagraph"/>
              <w:numPr>
                <w:ilvl w:val="0"/>
                <w:numId w:val="4"/>
              </w:numPr>
              <w:spacing w:before="100" w:beforeAutospacing="1" w:after="100" w:afterAutospacing="1" w:line="240" w:lineRule="auto"/>
              <w:rPr>
                <w:lang w:val="en"/>
              </w:rPr>
            </w:pPr>
            <w:r w:rsidRPr="009251C8">
              <w:rPr>
                <w:rFonts w:cstheme="minorHAnsi"/>
                <w:color w:val="000000"/>
              </w:rPr>
              <w:t>The protection of exclusive rights, including intellectual property rights (only if it is not caused by artificial narrowing down of the parameters of the procurement and no reasonable alternative or substitute exists).</w:t>
            </w:r>
          </w:p>
        </w:tc>
      </w:tr>
      <w:tr w:rsidR="009251C8" w:rsidTr="009251C8">
        <w:tc>
          <w:tcPr>
            <w:tcW w:w="9016" w:type="dxa"/>
          </w:tcPr>
          <w:p w:rsidR="009251C8" w:rsidRDefault="009251C8" w:rsidP="009251C8">
            <w:pPr>
              <w:spacing w:before="100" w:beforeAutospacing="1" w:after="100" w:afterAutospacing="1" w:line="240" w:lineRule="auto"/>
              <w:rPr>
                <w:rFonts w:cstheme="minorHAnsi"/>
                <w:color w:val="000000"/>
              </w:rPr>
            </w:pPr>
            <w:r w:rsidRPr="009251C8">
              <w:rPr>
                <w:rFonts w:cstheme="minorHAnsi"/>
                <w:color w:val="000000"/>
              </w:rPr>
              <w:t>Where it is strictly necessary for reasons of extreme urgency (where the time limits for the Open or Restricted Procedure or Competitive Procedure with Negotiation cannot be complied with) brought about by events unforeseeable and not attributable to the Organisation, such as emergency situations affecting the public e.g. flooding.</w:t>
            </w:r>
          </w:p>
          <w:p w:rsidR="007A35C3" w:rsidRDefault="007A35C3" w:rsidP="009251C8">
            <w:pPr>
              <w:spacing w:before="100" w:beforeAutospacing="1" w:after="100" w:afterAutospacing="1" w:line="240" w:lineRule="auto"/>
              <w:rPr>
                <w:lang w:val="en"/>
              </w:rPr>
            </w:pPr>
          </w:p>
        </w:tc>
      </w:tr>
      <w:tr w:rsidR="009251C8" w:rsidTr="009251C8">
        <w:tc>
          <w:tcPr>
            <w:tcW w:w="9016" w:type="dxa"/>
            <w:shd w:val="clear" w:color="auto" w:fill="D0CECE" w:themeFill="background2" w:themeFillShade="E6"/>
          </w:tcPr>
          <w:p w:rsidR="009251C8" w:rsidRPr="009251C8" w:rsidRDefault="009251C8" w:rsidP="009251C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In the procurement of</w:t>
            </w:r>
            <w:r w:rsidRPr="009251C8">
              <w:rPr>
                <w:rFonts w:asciiTheme="minorHAnsi" w:hAnsiTheme="minorHAnsi" w:cstheme="minorHAnsi"/>
                <w:color w:val="000000"/>
                <w:sz w:val="22"/>
                <w:szCs w:val="22"/>
              </w:rPr>
              <w:t> </w:t>
            </w:r>
            <w:r w:rsidRPr="009251C8">
              <w:rPr>
                <w:rStyle w:val="Strong"/>
                <w:rFonts w:asciiTheme="minorHAnsi" w:hAnsiTheme="minorHAnsi" w:cstheme="minorHAnsi"/>
                <w:color w:val="000000"/>
                <w:sz w:val="22"/>
                <w:szCs w:val="22"/>
              </w:rPr>
              <w:t>goods</w:t>
            </w:r>
            <w:r w:rsidRPr="009251C8">
              <w:rPr>
                <w:rFonts w:asciiTheme="minorHAnsi" w:hAnsiTheme="minorHAnsi" w:cstheme="minorHAnsi"/>
                <w:color w:val="000000"/>
                <w:sz w:val="22"/>
                <w:szCs w:val="22"/>
              </w:rPr>
              <w:t>:</w:t>
            </w:r>
          </w:p>
        </w:tc>
      </w:tr>
      <w:tr w:rsidR="009251C8" w:rsidTr="009251C8">
        <w:tc>
          <w:tcPr>
            <w:tcW w:w="9016" w:type="dxa"/>
          </w:tcPr>
          <w:p w:rsidR="009251C8" w:rsidRDefault="009251C8" w:rsidP="00D731F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exact"/>
              <w:contextualSpacing/>
              <w:rPr>
                <w:rFonts w:cstheme="minorHAnsi"/>
                <w:color w:val="000000"/>
              </w:rPr>
            </w:pPr>
            <w:r w:rsidRPr="009251C8">
              <w:rPr>
                <w:rFonts w:cstheme="minorHAnsi"/>
                <w:color w:val="000000"/>
              </w:rPr>
              <w:t>Where the products involved are manufactured purely for the purpose of research, experimentation, study or development, but not including quantity production to establish commercial viability or to recover research and development costs.  Note this should not be abused to allow a single supplier to be approached to design an item which must subsequently be purchased as a result of proprietary rights;</w:t>
            </w:r>
          </w:p>
          <w:p w:rsidR="00D731FC" w:rsidRDefault="00D731FC" w:rsidP="00D731F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exact"/>
              <w:contextualSpacing/>
              <w:rPr>
                <w:rFonts w:cstheme="minorHAnsi"/>
                <w:color w:val="000000"/>
              </w:rPr>
            </w:pPr>
          </w:p>
          <w:p w:rsidR="00D731FC" w:rsidRDefault="009251C8" w:rsidP="00D731FC">
            <w:pPr>
              <w:spacing w:before="100" w:beforeAutospacing="1" w:after="100" w:afterAutospacing="1" w:line="240" w:lineRule="exact"/>
              <w:contextualSpacing/>
              <w:rPr>
                <w:rFonts w:cstheme="minorHAnsi"/>
                <w:color w:val="000000"/>
              </w:rPr>
            </w:pPr>
            <w:r w:rsidRPr="009251C8">
              <w:rPr>
                <w:rFonts w:cstheme="minorHAnsi"/>
                <w:color w:val="000000"/>
              </w:rPr>
              <w:t>Where a change in supplier(s) would mean that the Organisation would have compatibility issues or disproportionate technical difficulties; this procedure can be used to acquire additional deliveries from the original supplier when needed to replace or increase supplies or installations.</w:t>
            </w:r>
            <w:r>
              <w:rPr>
                <w:rFonts w:cstheme="minorHAnsi"/>
                <w:color w:val="000000"/>
              </w:rPr>
              <w:t xml:space="preserve"> </w:t>
            </w:r>
            <w:r w:rsidRPr="009251C8">
              <w:rPr>
                <w:rFonts w:cstheme="minorHAnsi"/>
                <w:color w:val="000000"/>
              </w:rPr>
              <w:t>In this case, the contract or recurrent contract length must not exceed three years, other than in exceptional circumstances.;</w:t>
            </w:r>
          </w:p>
          <w:p w:rsidR="00D731FC" w:rsidRPr="00D731FC" w:rsidRDefault="00D731FC" w:rsidP="00D731FC">
            <w:pPr>
              <w:spacing w:before="100" w:beforeAutospacing="1" w:after="100" w:afterAutospacing="1" w:line="240" w:lineRule="exact"/>
              <w:contextualSpacing/>
              <w:rPr>
                <w:rFonts w:cstheme="minorHAnsi"/>
                <w:color w:val="000000"/>
              </w:rPr>
            </w:pPr>
          </w:p>
        </w:tc>
      </w:tr>
      <w:tr w:rsidR="009251C8" w:rsidTr="009251C8">
        <w:tc>
          <w:tcPr>
            <w:tcW w:w="9016" w:type="dxa"/>
          </w:tcPr>
          <w:p w:rsidR="009251C8" w:rsidRDefault="009251C8" w:rsidP="00D731FC">
            <w:pPr>
              <w:pStyle w:val="NormalWeb"/>
              <w:spacing w:line="240" w:lineRule="exact"/>
              <w:contextualSpacing/>
              <w:rPr>
                <w:rFonts w:asciiTheme="minorHAnsi" w:hAnsiTheme="minorHAnsi" w:cstheme="minorHAnsi"/>
                <w:color w:val="000000"/>
                <w:sz w:val="22"/>
                <w:szCs w:val="22"/>
              </w:rPr>
            </w:pPr>
            <w:r w:rsidRPr="009251C8">
              <w:rPr>
                <w:rFonts w:asciiTheme="minorHAnsi" w:hAnsiTheme="minorHAnsi" w:cstheme="minorHAnsi"/>
                <w:color w:val="000000"/>
                <w:sz w:val="22"/>
                <w:szCs w:val="22"/>
              </w:rPr>
              <w:t>For supplies quoted and purchased on a commodity market; </w:t>
            </w:r>
          </w:p>
          <w:p w:rsidR="00D731FC" w:rsidRPr="009251C8" w:rsidRDefault="00D731FC" w:rsidP="00D731FC">
            <w:pPr>
              <w:pStyle w:val="NormalWeb"/>
              <w:spacing w:line="240" w:lineRule="exact"/>
              <w:contextualSpacing/>
              <w:rPr>
                <w:rFonts w:asciiTheme="minorHAnsi" w:hAnsiTheme="minorHAnsi" w:cstheme="minorHAnsi"/>
                <w:color w:val="000000"/>
                <w:sz w:val="22"/>
                <w:szCs w:val="22"/>
              </w:rPr>
            </w:pPr>
          </w:p>
        </w:tc>
      </w:tr>
      <w:tr w:rsidR="009251C8" w:rsidTr="009251C8">
        <w:tc>
          <w:tcPr>
            <w:tcW w:w="9016" w:type="dxa"/>
          </w:tcPr>
          <w:p w:rsidR="007A35C3" w:rsidRDefault="009251C8" w:rsidP="00D731FC">
            <w:pPr>
              <w:spacing w:before="100" w:beforeAutospacing="1" w:after="100" w:afterAutospacing="1" w:line="240" w:lineRule="exact"/>
              <w:contextualSpacing/>
              <w:rPr>
                <w:rFonts w:cstheme="minorHAnsi"/>
                <w:color w:val="000000"/>
              </w:rPr>
            </w:pPr>
            <w:r>
              <w:rPr>
                <w:rFonts w:cstheme="minorHAnsi"/>
                <w:color w:val="000000"/>
              </w:rPr>
              <w:t>F</w:t>
            </w:r>
            <w:r w:rsidRPr="009251C8">
              <w:rPr>
                <w:rFonts w:cstheme="minorHAnsi"/>
                <w:color w:val="000000"/>
              </w:rPr>
              <w:t>or the purchase of supplies on particularly advantageous terms, from either a supplier which is definitively winding up its business activities, or the liquidator in an insolvency procedure, an arrangement with creditors, or a similar procedure under national laws or regulations.</w:t>
            </w:r>
          </w:p>
          <w:p w:rsidR="00D731FC" w:rsidRPr="00D731FC" w:rsidRDefault="00D731FC" w:rsidP="00D731FC">
            <w:pPr>
              <w:spacing w:before="100" w:beforeAutospacing="1" w:after="100" w:afterAutospacing="1" w:line="240" w:lineRule="exact"/>
              <w:contextualSpacing/>
              <w:rPr>
                <w:rFonts w:cstheme="minorHAnsi"/>
                <w:color w:val="000000"/>
              </w:rPr>
            </w:pPr>
          </w:p>
        </w:tc>
      </w:tr>
      <w:tr w:rsidR="009251C8" w:rsidTr="009251C8">
        <w:tc>
          <w:tcPr>
            <w:tcW w:w="9016" w:type="dxa"/>
            <w:shd w:val="clear" w:color="auto" w:fill="D0CECE" w:themeFill="background2" w:themeFillShade="E6"/>
          </w:tcPr>
          <w:p w:rsidR="009251C8" w:rsidRPr="009251C8" w:rsidRDefault="009251C8" w:rsidP="009251C8">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In the procurement of</w:t>
            </w:r>
            <w:r w:rsidRPr="009251C8">
              <w:rPr>
                <w:rFonts w:asciiTheme="minorHAnsi" w:hAnsiTheme="minorHAnsi" w:cstheme="minorHAnsi"/>
                <w:color w:val="000000"/>
                <w:sz w:val="22"/>
                <w:szCs w:val="22"/>
              </w:rPr>
              <w:t> </w:t>
            </w:r>
            <w:r w:rsidRPr="009251C8">
              <w:rPr>
                <w:rStyle w:val="Strong"/>
                <w:rFonts w:asciiTheme="minorHAnsi" w:hAnsiTheme="minorHAnsi" w:cstheme="minorHAnsi"/>
                <w:color w:val="000000"/>
                <w:sz w:val="22"/>
                <w:szCs w:val="22"/>
              </w:rPr>
              <w:t>services</w:t>
            </w:r>
            <w:r w:rsidRPr="009251C8">
              <w:rPr>
                <w:rFonts w:asciiTheme="minorHAnsi" w:hAnsiTheme="minorHAnsi" w:cstheme="minorHAnsi"/>
                <w:color w:val="000000"/>
                <w:sz w:val="22"/>
                <w:szCs w:val="22"/>
              </w:rPr>
              <w:t>:</w:t>
            </w:r>
          </w:p>
        </w:tc>
      </w:tr>
      <w:tr w:rsidR="009251C8" w:rsidTr="009251C8">
        <w:tc>
          <w:tcPr>
            <w:tcW w:w="9016" w:type="dxa"/>
          </w:tcPr>
          <w:p w:rsidR="009251C8" w:rsidRDefault="009251C8" w:rsidP="009251C8">
            <w:pPr>
              <w:spacing w:before="100" w:beforeAutospacing="1" w:after="100" w:afterAutospacing="1" w:line="240" w:lineRule="auto"/>
              <w:rPr>
                <w:rFonts w:cstheme="minorHAnsi"/>
                <w:color w:val="000000"/>
              </w:rPr>
            </w:pPr>
            <w:r w:rsidRPr="009251C8">
              <w:rPr>
                <w:rFonts w:cstheme="minorHAnsi"/>
                <w:color w:val="000000"/>
              </w:rPr>
              <w:t>Where the contract concerned follows a </w:t>
            </w:r>
            <w:hyperlink r:id="rId8" w:history="1">
              <w:r w:rsidRPr="009251C8">
                <w:rPr>
                  <w:rStyle w:val="Hyperlink"/>
                  <w:rFonts w:cstheme="minorHAnsi"/>
                  <w:color w:val="0070BC"/>
                </w:rPr>
                <w:t>design contest</w:t>
              </w:r>
            </w:hyperlink>
            <w:r w:rsidRPr="009251C8">
              <w:rPr>
                <w:rFonts w:cstheme="minorHAnsi"/>
                <w:color w:val="000000"/>
              </w:rPr>
              <w:t> organised in accordance with the </w:t>
            </w:r>
            <w:hyperlink r:id="rId9" w:tgtFrame="_blank" w:history="1">
              <w:r w:rsidRPr="009251C8">
                <w:rPr>
                  <w:rStyle w:val="Hyperlink"/>
                  <w:rFonts w:cstheme="minorHAnsi"/>
                  <w:color w:val="0070BC"/>
                </w:rPr>
                <w:t>Public Contracts (Scotland) Regulations 2015</w:t>
              </w:r>
            </w:hyperlink>
            <w:r w:rsidRPr="009251C8">
              <w:rPr>
                <w:rFonts w:cstheme="minorHAnsi"/>
                <w:color w:val="000000"/>
              </w:rPr>
              <w:t> and where the contract concerned is to be awarded as part of the design contest to the winner or winners. Where there is more than one winner of the design contest, all of them must be invited to participate in the negotiation;</w:t>
            </w:r>
          </w:p>
          <w:p w:rsidR="00D731FC" w:rsidRDefault="00D731FC" w:rsidP="009251C8">
            <w:pPr>
              <w:spacing w:before="100" w:beforeAutospacing="1" w:after="100" w:afterAutospacing="1" w:line="240" w:lineRule="auto"/>
              <w:rPr>
                <w:rFonts w:cstheme="minorHAnsi"/>
                <w:color w:val="000000"/>
              </w:rPr>
            </w:pPr>
          </w:p>
        </w:tc>
      </w:tr>
      <w:tr w:rsidR="009251C8" w:rsidTr="009251C8">
        <w:tc>
          <w:tcPr>
            <w:tcW w:w="9016" w:type="dxa"/>
          </w:tcPr>
          <w:p w:rsidR="009251C8" w:rsidRDefault="009251C8" w:rsidP="009251C8">
            <w:pPr>
              <w:spacing w:before="100" w:beforeAutospacing="1" w:after="100" w:afterAutospacing="1" w:line="240" w:lineRule="auto"/>
              <w:rPr>
                <w:rFonts w:cstheme="minorHAnsi"/>
                <w:color w:val="000000"/>
              </w:rPr>
            </w:pPr>
            <w:r w:rsidRPr="009251C8">
              <w:rPr>
                <w:rFonts w:cstheme="minorHAnsi"/>
                <w:color w:val="000000"/>
              </w:rPr>
              <w:t>In instances when all of the following apply:</w:t>
            </w:r>
          </w:p>
          <w:p w:rsidR="009251C8" w:rsidRDefault="009251C8" w:rsidP="009251C8">
            <w:pPr>
              <w:pStyle w:val="ListParagraph"/>
              <w:numPr>
                <w:ilvl w:val="0"/>
                <w:numId w:val="5"/>
              </w:numPr>
              <w:spacing w:before="100" w:beforeAutospacing="1" w:after="100" w:afterAutospacing="1" w:line="240" w:lineRule="auto"/>
              <w:rPr>
                <w:rFonts w:cstheme="minorHAnsi"/>
                <w:color w:val="000000"/>
              </w:rPr>
            </w:pPr>
            <w:r w:rsidRPr="009251C8">
              <w:rPr>
                <w:rFonts w:cstheme="minorHAnsi"/>
                <w:color w:val="000000"/>
              </w:rPr>
              <w:t>Where it is for new services consisting of the repetition of similar services performed by the supplier to which the Organisation awarded an original contract, provided that such services are in conformity with the basic project for which the original contract was awarded and the award indicated the extent of possible additional services and the conditions un</w:t>
            </w:r>
            <w:r>
              <w:rPr>
                <w:rFonts w:cstheme="minorHAnsi"/>
                <w:color w:val="000000"/>
              </w:rPr>
              <w:t>der which they would be awarded.</w:t>
            </w:r>
          </w:p>
          <w:p w:rsidR="009251C8" w:rsidRDefault="009251C8" w:rsidP="009251C8">
            <w:pPr>
              <w:pStyle w:val="ListParagraph"/>
              <w:numPr>
                <w:ilvl w:val="0"/>
                <w:numId w:val="5"/>
              </w:numPr>
              <w:spacing w:before="100" w:beforeAutospacing="1" w:after="100" w:afterAutospacing="1" w:line="240" w:lineRule="auto"/>
              <w:rPr>
                <w:rFonts w:cstheme="minorHAnsi"/>
                <w:color w:val="000000"/>
              </w:rPr>
            </w:pPr>
            <w:r w:rsidRPr="009251C8">
              <w:rPr>
                <w:rFonts w:cstheme="minorHAnsi"/>
                <w:color w:val="000000"/>
              </w:rPr>
              <w:t>The possible use of this procedure was disclosed in the Procurement Documents and the total estimated cost of subsequent services was taken into consideration by the Organisation when applying the thresholds in relation to the original contract; and</w:t>
            </w:r>
          </w:p>
          <w:p w:rsidR="009251C8" w:rsidRDefault="009251C8" w:rsidP="009251C8">
            <w:pPr>
              <w:pStyle w:val="ListParagraph"/>
              <w:numPr>
                <w:ilvl w:val="0"/>
                <w:numId w:val="5"/>
              </w:numPr>
              <w:spacing w:before="100" w:beforeAutospacing="1" w:after="100" w:afterAutospacing="1" w:line="240" w:lineRule="auto"/>
              <w:rPr>
                <w:rFonts w:cstheme="minorHAnsi"/>
                <w:color w:val="000000"/>
              </w:rPr>
            </w:pPr>
            <w:r w:rsidRPr="009251C8">
              <w:rPr>
                <w:rFonts w:cstheme="minorHAnsi"/>
                <w:color w:val="000000"/>
              </w:rPr>
              <w:t>Not more than three years have elapsed following the conclusion of the original contract.</w:t>
            </w:r>
          </w:p>
        </w:tc>
      </w:tr>
    </w:tbl>
    <w:p w:rsidR="009251C8" w:rsidRDefault="009251C8" w:rsidP="009251C8">
      <w:pPr>
        <w:spacing w:after="120" w:line="240" w:lineRule="auto"/>
        <w:ind w:right="-23"/>
        <w:rPr>
          <w:lang w:val="en"/>
        </w:rPr>
      </w:pPr>
    </w:p>
    <w:p w:rsidR="009251C8" w:rsidRDefault="009251C8" w:rsidP="009251C8">
      <w:pPr>
        <w:spacing w:after="120" w:line="240" w:lineRule="auto"/>
        <w:ind w:right="-23"/>
        <w:rPr>
          <w:lang w:val="en"/>
        </w:rPr>
      </w:pPr>
    </w:p>
    <w:p w:rsidR="009251C8" w:rsidRPr="009251C8" w:rsidRDefault="009251C8" w:rsidP="009251C8">
      <w:pPr>
        <w:spacing w:after="120" w:line="240" w:lineRule="auto"/>
        <w:ind w:right="-23"/>
        <w:rPr>
          <w:rFonts w:cstheme="minorHAnsi"/>
          <w:lang w:val="en"/>
        </w:rPr>
      </w:pPr>
    </w:p>
    <w:p w:rsidR="009251C8" w:rsidRPr="009251C8" w:rsidRDefault="009251C8" w:rsidP="009251C8">
      <w:pPr>
        <w:spacing w:after="120" w:line="240" w:lineRule="auto"/>
        <w:ind w:right="-23"/>
        <w:rPr>
          <w:rFonts w:cstheme="minorHAnsi"/>
          <w:lang w:val="en"/>
        </w:rPr>
      </w:pPr>
    </w:p>
    <w:p w:rsidR="009251C8" w:rsidRPr="009251C8" w:rsidRDefault="009251C8" w:rsidP="009251C8">
      <w:pPr>
        <w:spacing w:after="120" w:line="240" w:lineRule="auto"/>
        <w:ind w:right="-23"/>
        <w:rPr>
          <w:rFonts w:cstheme="minorHAnsi"/>
          <w:lang w:val="en"/>
        </w:rPr>
      </w:pPr>
    </w:p>
    <w:p w:rsidR="009251C8" w:rsidRPr="009251C8" w:rsidRDefault="009251C8" w:rsidP="009251C8">
      <w:pPr>
        <w:spacing w:after="120" w:line="240" w:lineRule="auto"/>
        <w:ind w:right="-23"/>
        <w:rPr>
          <w:rFonts w:cstheme="minorHAnsi"/>
          <w:lang w:val="en"/>
        </w:rPr>
      </w:pPr>
    </w:p>
    <w:p w:rsidR="009251C8" w:rsidRPr="009251C8" w:rsidRDefault="009251C8" w:rsidP="009251C8">
      <w:pPr>
        <w:spacing w:after="120" w:line="240" w:lineRule="auto"/>
        <w:ind w:right="-23"/>
        <w:rPr>
          <w:rFonts w:cstheme="minorHAnsi"/>
          <w:lang w:val="en"/>
        </w:rPr>
      </w:pPr>
    </w:p>
    <w:p w:rsidR="009251C8" w:rsidRPr="009251C8" w:rsidRDefault="007500B5" w:rsidP="009251C8">
      <w:pPr>
        <w:spacing w:after="120" w:line="240" w:lineRule="auto"/>
        <w:ind w:right="-23"/>
        <w:rPr>
          <w:rFonts w:cstheme="minorHAnsi"/>
          <w:b/>
          <w:lang w:val="en"/>
        </w:rPr>
      </w:pPr>
      <w:r>
        <w:rPr>
          <w:rFonts w:cstheme="minorHAnsi"/>
          <w:b/>
          <w:lang w:val="en"/>
        </w:rPr>
        <w:t>Reviewed February 2020</w:t>
      </w:r>
      <w:bookmarkStart w:id="0" w:name="_GoBack"/>
      <w:bookmarkEnd w:id="0"/>
    </w:p>
    <w:p w:rsidR="00E77E93" w:rsidRPr="009251C8" w:rsidRDefault="00E77E93">
      <w:pPr>
        <w:rPr>
          <w:rFonts w:cstheme="minorHAnsi"/>
        </w:rPr>
      </w:pPr>
    </w:p>
    <w:sectPr w:rsidR="00E77E93" w:rsidRPr="00925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68FF"/>
    <w:multiLevelType w:val="hybridMultilevel"/>
    <w:tmpl w:val="A58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7010D5"/>
    <w:multiLevelType w:val="multilevel"/>
    <w:tmpl w:val="E5661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D3193"/>
    <w:multiLevelType w:val="multilevel"/>
    <w:tmpl w:val="09A8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A588C"/>
    <w:multiLevelType w:val="multilevel"/>
    <w:tmpl w:val="5E18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7078B"/>
    <w:multiLevelType w:val="hybridMultilevel"/>
    <w:tmpl w:val="025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C8"/>
    <w:rsid w:val="00001A26"/>
    <w:rsid w:val="00002A30"/>
    <w:rsid w:val="000078D2"/>
    <w:rsid w:val="00007C7C"/>
    <w:rsid w:val="00010232"/>
    <w:rsid w:val="00014F9B"/>
    <w:rsid w:val="00016395"/>
    <w:rsid w:val="0002129C"/>
    <w:rsid w:val="00021903"/>
    <w:rsid w:val="00025FD0"/>
    <w:rsid w:val="00030DFA"/>
    <w:rsid w:val="000317A0"/>
    <w:rsid w:val="000353F2"/>
    <w:rsid w:val="00036434"/>
    <w:rsid w:val="00036C44"/>
    <w:rsid w:val="0003702D"/>
    <w:rsid w:val="0003739C"/>
    <w:rsid w:val="00041AD4"/>
    <w:rsid w:val="0004442F"/>
    <w:rsid w:val="000458A2"/>
    <w:rsid w:val="000463C6"/>
    <w:rsid w:val="0005022C"/>
    <w:rsid w:val="00052E29"/>
    <w:rsid w:val="000549E2"/>
    <w:rsid w:val="0005522D"/>
    <w:rsid w:val="00055F56"/>
    <w:rsid w:val="00065A09"/>
    <w:rsid w:val="00066305"/>
    <w:rsid w:val="00066C40"/>
    <w:rsid w:val="000670B8"/>
    <w:rsid w:val="00070B90"/>
    <w:rsid w:val="00072274"/>
    <w:rsid w:val="0007736E"/>
    <w:rsid w:val="000810A2"/>
    <w:rsid w:val="00081DA2"/>
    <w:rsid w:val="00082ED0"/>
    <w:rsid w:val="00084543"/>
    <w:rsid w:val="00085D40"/>
    <w:rsid w:val="000878FC"/>
    <w:rsid w:val="00095A70"/>
    <w:rsid w:val="00097A13"/>
    <w:rsid w:val="000A1EC0"/>
    <w:rsid w:val="000A617E"/>
    <w:rsid w:val="000A7C1C"/>
    <w:rsid w:val="000B4BD9"/>
    <w:rsid w:val="000B6491"/>
    <w:rsid w:val="000C0E4B"/>
    <w:rsid w:val="000C10F7"/>
    <w:rsid w:val="000C1B41"/>
    <w:rsid w:val="000C277D"/>
    <w:rsid w:val="000C4504"/>
    <w:rsid w:val="000C513D"/>
    <w:rsid w:val="000D0169"/>
    <w:rsid w:val="000D127C"/>
    <w:rsid w:val="000D376D"/>
    <w:rsid w:val="000D4009"/>
    <w:rsid w:val="000D517C"/>
    <w:rsid w:val="000E0DB4"/>
    <w:rsid w:val="000E15E0"/>
    <w:rsid w:val="000E24CB"/>
    <w:rsid w:val="000E3170"/>
    <w:rsid w:val="000E5155"/>
    <w:rsid w:val="000E5BBF"/>
    <w:rsid w:val="000E655E"/>
    <w:rsid w:val="000F09F3"/>
    <w:rsid w:val="000F2AB8"/>
    <w:rsid w:val="000F46A1"/>
    <w:rsid w:val="000F55B0"/>
    <w:rsid w:val="000F5F72"/>
    <w:rsid w:val="001001DA"/>
    <w:rsid w:val="00100F54"/>
    <w:rsid w:val="00104C52"/>
    <w:rsid w:val="00116420"/>
    <w:rsid w:val="00116A30"/>
    <w:rsid w:val="00117187"/>
    <w:rsid w:val="00122921"/>
    <w:rsid w:val="001229D0"/>
    <w:rsid w:val="00123133"/>
    <w:rsid w:val="00123BD3"/>
    <w:rsid w:val="00124FE3"/>
    <w:rsid w:val="00125F2C"/>
    <w:rsid w:val="00130DEA"/>
    <w:rsid w:val="0013240E"/>
    <w:rsid w:val="00134AC5"/>
    <w:rsid w:val="00135585"/>
    <w:rsid w:val="001376E1"/>
    <w:rsid w:val="001377AA"/>
    <w:rsid w:val="001414C4"/>
    <w:rsid w:val="001476D2"/>
    <w:rsid w:val="00151093"/>
    <w:rsid w:val="001516F4"/>
    <w:rsid w:val="0015187E"/>
    <w:rsid w:val="00151E39"/>
    <w:rsid w:val="00152377"/>
    <w:rsid w:val="001536EB"/>
    <w:rsid w:val="0015512D"/>
    <w:rsid w:val="001551DD"/>
    <w:rsid w:val="00157197"/>
    <w:rsid w:val="00161FF0"/>
    <w:rsid w:val="001623EB"/>
    <w:rsid w:val="001644B3"/>
    <w:rsid w:val="001650DC"/>
    <w:rsid w:val="00165BCC"/>
    <w:rsid w:val="00165E49"/>
    <w:rsid w:val="00166C11"/>
    <w:rsid w:val="00166ECF"/>
    <w:rsid w:val="0016775C"/>
    <w:rsid w:val="00167BE6"/>
    <w:rsid w:val="00171999"/>
    <w:rsid w:val="00171A29"/>
    <w:rsid w:val="00173250"/>
    <w:rsid w:val="00173972"/>
    <w:rsid w:val="001745CB"/>
    <w:rsid w:val="00177167"/>
    <w:rsid w:val="0017749F"/>
    <w:rsid w:val="001804A8"/>
    <w:rsid w:val="0018057E"/>
    <w:rsid w:val="00180AF6"/>
    <w:rsid w:val="001810BE"/>
    <w:rsid w:val="001810D0"/>
    <w:rsid w:val="001819E8"/>
    <w:rsid w:val="00184047"/>
    <w:rsid w:val="00184919"/>
    <w:rsid w:val="00185967"/>
    <w:rsid w:val="001864A8"/>
    <w:rsid w:val="001867B2"/>
    <w:rsid w:val="00187D6F"/>
    <w:rsid w:val="001900A3"/>
    <w:rsid w:val="00190609"/>
    <w:rsid w:val="00191298"/>
    <w:rsid w:val="001917A6"/>
    <w:rsid w:val="00193D6A"/>
    <w:rsid w:val="0019447E"/>
    <w:rsid w:val="001A0393"/>
    <w:rsid w:val="001A2657"/>
    <w:rsid w:val="001A5706"/>
    <w:rsid w:val="001A6898"/>
    <w:rsid w:val="001B1016"/>
    <w:rsid w:val="001B3A33"/>
    <w:rsid w:val="001B40B7"/>
    <w:rsid w:val="001B644F"/>
    <w:rsid w:val="001B67AA"/>
    <w:rsid w:val="001B6DA0"/>
    <w:rsid w:val="001B72E5"/>
    <w:rsid w:val="001B7C06"/>
    <w:rsid w:val="001C1814"/>
    <w:rsid w:val="001C2C38"/>
    <w:rsid w:val="001C6ABD"/>
    <w:rsid w:val="001C7125"/>
    <w:rsid w:val="001D0F71"/>
    <w:rsid w:val="001D5BCA"/>
    <w:rsid w:val="001D5DD3"/>
    <w:rsid w:val="001D7A91"/>
    <w:rsid w:val="001E1647"/>
    <w:rsid w:val="001E2715"/>
    <w:rsid w:val="001E2760"/>
    <w:rsid w:val="001E6A7A"/>
    <w:rsid w:val="001F0AC0"/>
    <w:rsid w:val="001F0D45"/>
    <w:rsid w:val="001F122A"/>
    <w:rsid w:val="001F1484"/>
    <w:rsid w:val="001F38BF"/>
    <w:rsid w:val="001F3E28"/>
    <w:rsid w:val="001F3E54"/>
    <w:rsid w:val="001F4A59"/>
    <w:rsid w:val="001F5FF1"/>
    <w:rsid w:val="001F7A4D"/>
    <w:rsid w:val="002021F5"/>
    <w:rsid w:val="00203CE0"/>
    <w:rsid w:val="0020587A"/>
    <w:rsid w:val="00205AF5"/>
    <w:rsid w:val="00207BF1"/>
    <w:rsid w:val="00210BAC"/>
    <w:rsid w:val="002130E2"/>
    <w:rsid w:val="00213B01"/>
    <w:rsid w:val="00215633"/>
    <w:rsid w:val="0021564A"/>
    <w:rsid w:val="00215826"/>
    <w:rsid w:val="00215BE8"/>
    <w:rsid w:val="00216022"/>
    <w:rsid w:val="00217D10"/>
    <w:rsid w:val="0022131E"/>
    <w:rsid w:val="00224844"/>
    <w:rsid w:val="002252B2"/>
    <w:rsid w:val="00226332"/>
    <w:rsid w:val="00231DCE"/>
    <w:rsid w:val="002331FB"/>
    <w:rsid w:val="0023469A"/>
    <w:rsid w:val="00235CF6"/>
    <w:rsid w:val="00237DE7"/>
    <w:rsid w:val="00240FA5"/>
    <w:rsid w:val="00242D0E"/>
    <w:rsid w:val="00243926"/>
    <w:rsid w:val="00244988"/>
    <w:rsid w:val="00244AB4"/>
    <w:rsid w:val="00245471"/>
    <w:rsid w:val="00245605"/>
    <w:rsid w:val="00247DE0"/>
    <w:rsid w:val="00252809"/>
    <w:rsid w:val="00253D69"/>
    <w:rsid w:val="0025486D"/>
    <w:rsid w:val="00256970"/>
    <w:rsid w:val="002570ED"/>
    <w:rsid w:val="002576CA"/>
    <w:rsid w:val="00260B0A"/>
    <w:rsid w:val="00261E2E"/>
    <w:rsid w:val="00261EA2"/>
    <w:rsid w:val="0026238B"/>
    <w:rsid w:val="002632C8"/>
    <w:rsid w:val="002643DC"/>
    <w:rsid w:val="00265979"/>
    <w:rsid w:val="002677C1"/>
    <w:rsid w:val="0027038A"/>
    <w:rsid w:val="00274076"/>
    <w:rsid w:val="00274ED7"/>
    <w:rsid w:val="002764C8"/>
    <w:rsid w:val="002767FE"/>
    <w:rsid w:val="002778F4"/>
    <w:rsid w:val="00280AF3"/>
    <w:rsid w:val="00293976"/>
    <w:rsid w:val="00295930"/>
    <w:rsid w:val="002978B9"/>
    <w:rsid w:val="002A0801"/>
    <w:rsid w:val="002A276F"/>
    <w:rsid w:val="002A6215"/>
    <w:rsid w:val="002B0636"/>
    <w:rsid w:val="002B0E75"/>
    <w:rsid w:val="002B248D"/>
    <w:rsid w:val="002B44D3"/>
    <w:rsid w:val="002B76D6"/>
    <w:rsid w:val="002B76D7"/>
    <w:rsid w:val="002C61EE"/>
    <w:rsid w:val="002D3066"/>
    <w:rsid w:val="002D34B1"/>
    <w:rsid w:val="002D40EE"/>
    <w:rsid w:val="002D6DC2"/>
    <w:rsid w:val="002D793C"/>
    <w:rsid w:val="002E27E3"/>
    <w:rsid w:val="002E2D70"/>
    <w:rsid w:val="002E4938"/>
    <w:rsid w:val="002E7070"/>
    <w:rsid w:val="002E7DF8"/>
    <w:rsid w:val="002E7E24"/>
    <w:rsid w:val="002F4382"/>
    <w:rsid w:val="002F640B"/>
    <w:rsid w:val="003008B8"/>
    <w:rsid w:val="00300DAD"/>
    <w:rsid w:val="003030A7"/>
    <w:rsid w:val="00304F0C"/>
    <w:rsid w:val="00305D0E"/>
    <w:rsid w:val="00311E05"/>
    <w:rsid w:val="0031249D"/>
    <w:rsid w:val="003125E7"/>
    <w:rsid w:val="00313BF9"/>
    <w:rsid w:val="003143E4"/>
    <w:rsid w:val="00314F31"/>
    <w:rsid w:val="00315A89"/>
    <w:rsid w:val="00316DE0"/>
    <w:rsid w:val="00316FA3"/>
    <w:rsid w:val="00317849"/>
    <w:rsid w:val="00322C0D"/>
    <w:rsid w:val="0032324D"/>
    <w:rsid w:val="00323EA1"/>
    <w:rsid w:val="00324241"/>
    <w:rsid w:val="00324F0A"/>
    <w:rsid w:val="00327A47"/>
    <w:rsid w:val="00330298"/>
    <w:rsid w:val="0033100A"/>
    <w:rsid w:val="003330D6"/>
    <w:rsid w:val="00333921"/>
    <w:rsid w:val="00333BCC"/>
    <w:rsid w:val="00334CE0"/>
    <w:rsid w:val="003353F4"/>
    <w:rsid w:val="00335EDA"/>
    <w:rsid w:val="00340BD7"/>
    <w:rsid w:val="00344087"/>
    <w:rsid w:val="00344DEF"/>
    <w:rsid w:val="00345B34"/>
    <w:rsid w:val="0034665F"/>
    <w:rsid w:val="003500A4"/>
    <w:rsid w:val="00351547"/>
    <w:rsid w:val="003559F7"/>
    <w:rsid w:val="003572FF"/>
    <w:rsid w:val="003628F8"/>
    <w:rsid w:val="00363CF8"/>
    <w:rsid w:val="00365413"/>
    <w:rsid w:val="00366489"/>
    <w:rsid w:val="00366877"/>
    <w:rsid w:val="00371EC0"/>
    <w:rsid w:val="00373DD1"/>
    <w:rsid w:val="0037404D"/>
    <w:rsid w:val="00377001"/>
    <w:rsid w:val="003824C2"/>
    <w:rsid w:val="003831B7"/>
    <w:rsid w:val="003834CE"/>
    <w:rsid w:val="003836C0"/>
    <w:rsid w:val="00384025"/>
    <w:rsid w:val="00384460"/>
    <w:rsid w:val="003859CA"/>
    <w:rsid w:val="003875A0"/>
    <w:rsid w:val="003901C8"/>
    <w:rsid w:val="00390466"/>
    <w:rsid w:val="00394040"/>
    <w:rsid w:val="00397B53"/>
    <w:rsid w:val="003A1F42"/>
    <w:rsid w:val="003A37E7"/>
    <w:rsid w:val="003A4003"/>
    <w:rsid w:val="003A5501"/>
    <w:rsid w:val="003A7AA9"/>
    <w:rsid w:val="003B3300"/>
    <w:rsid w:val="003B645C"/>
    <w:rsid w:val="003B791F"/>
    <w:rsid w:val="003B7A18"/>
    <w:rsid w:val="003C0A87"/>
    <w:rsid w:val="003C0F78"/>
    <w:rsid w:val="003C2214"/>
    <w:rsid w:val="003D09E2"/>
    <w:rsid w:val="003D16AF"/>
    <w:rsid w:val="003D4B91"/>
    <w:rsid w:val="003D642E"/>
    <w:rsid w:val="003D7134"/>
    <w:rsid w:val="003D7179"/>
    <w:rsid w:val="003E0957"/>
    <w:rsid w:val="003E6B3F"/>
    <w:rsid w:val="003E7F9E"/>
    <w:rsid w:val="003F228F"/>
    <w:rsid w:val="003F2E40"/>
    <w:rsid w:val="003F6E79"/>
    <w:rsid w:val="003F7680"/>
    <w:rsid w:val="003F7FDC"/>
    <w:rsid w:val="00403661"/>
    <w:rsid w:val="00407E6C"/>
    <w:rsid w:val="004101A7"/>
    <w:rsid w:val="00411B59"/>
    <w:rsid w:val="00411D3D"/>
    <w:rsid w:val="004238E6"/>
    <w:rsid w:val="00426109"/>
    <w:rsid w:val="0042664F"/>
    <w:rsid w:val="00433623"/>
    <w:rsid w:val="00433C14"/>
    <w:rsid w:val="00434488"/>
    <w:rsid w:val="00437858"/>
    <w:rsid w:val="00442190"/>
    <w:rsid w:val="00442C17"/>
    <w:rsid w:val="00443BB8"/>
    <w:rsid w:val="004441BA"/>
    <w:rsid w:val="00444E7A"/>
    <w:rsid w:val="004456B1"/>
    <w:rsid w:val="00447FB9"/>
    <w:rsid w:val="0045118C"/>
    <w:rsid w:val="0045455F"/>
    <w:rsid w:val="00454763"/>
    <w:rsid w:val="004555D8"/>
    <w:rsid w:val="004555DE"/>
    <w:rsid w:val="00456D4E"/>
    <w:rsid w:val="00457079"/>
    <w:rsid w:val="0045795D"/>
    <w:rsid w:val="00457E2C"/>
    <w:rsid w:val="0046041D"/>
    <w:rsid w:val="004611BC"/>
    <w:rsid w:val="00461524"/>
    <w:rsid w:val="004630B4"/>
    <w:rsid w:val="0046403B"/>
    <w:rsid w:val="00466E81"/>
    <w:rsid w:val="00471BEF"/>
    <w:rsid w:val="004727DB"/>
    <w:rsid w:val="004733B2"/>
    <w:rsid w:val="00476487"/>
    <w:rsid w:val="00476BE0"/>
    <w:rsid w:val="00480585"/>
    <w:rsid w:val="00480C04"/>
    <w:rsid w:val="00482638"/>
    <w:rsid w:val="004832A6"/>
    <w:rsid w:val="00484E74"/>
    <w:rsid w:val="00486F3C"/>
    <w:rsid w:val="00491820"/>
    <w:rsid w:val="00494104"/>
    <w:rsid w:val="004949C7"/>
    <w:rsid w:val="0049646E"/>
    <w:rsid w:val="00497DC0"/>
    <w:rsid w:val="004A4E26"/>
    <w:rsid w:val="004A6480"/>
    <w:rsid w:val="004A6E2E"/>
    <w:rsid w:val="004A7885"/>
    <w:rsid w:val="004B2E39"/>
    <w:rsid w:val="004B2ED1"/>
    <w:rsid w:val="004B485C"/>
    <w:rsid w:val="004B7231"/>
    <w:rsid w:val="004C1F1C"/>
    <w:rsid w:val="004C2A62"/>
    <w:rsid w:val="004C5920"/>
    <w:rsid w:val="004C61D9"/>
    <w:rsid w:val="004C680D"/>
    <w:rsid w:val="004C74BA"/>
    <w:rsid w:val="004C7C4C"/>
    <w:rsid w:val="004C7F90"/>
    <w:rsid w:val="004D0E9C"/>
    <w:rsid w:val="004D0FE2"/>
    <w:rsid w:val="004D14E9"/>
    <w:rsid w:val="004D1F84"/>
    <w:rsid w:val="004D4A22"/>
    <w:rsid w:val="004D51E2"/>
    <w:rsid w:val="004E0F63"/>
    <w:rsid w:val="004E24E5"/>
    <w:rsid w:val="004E3057"/>
    <w:rsid w:val="004E3A49"/>
    <w:rsid w:val="004F1614"/>
    <w:rsid w:val="004F2704"/>
    <w:rsid w:val="004F2AAC"/>
    <w:rsid w:val="004F3C30"/>
    <w:rsid w:val="004F5258"/>
    <w:rsid w:val="004F66C0"/>
    <w:rsid w:val="004F6963"/>
    <w:rsid w:val="004F7FC4"/>
    <w:rsid w:val="00500667"/>
    <w:rsid w:val="00502B91"/>
    <w:rsid w:val="00503192"/>
    <w:rsid w:val="005049DC"/>
    <w:rsid w:val="005075B5"/>
    <w:rsid w:val="00510E58"/>
    <w:rsid w:val="00512124"/>
    <w:rsid w:val="00516B64"/>
    <w:rsid w:val="005172B6"/>
    <w:rsid w:val="00517A8F"/>
    <w:rsid w:val="00522262"/>
    <w:rsid w:val="00522CA6"/>
    <w:rsid w:val="005243FC"/>
    <w:rsid w:val="00524862"/>
    <w:rsid w:val="00525068"/>
    <w:rsid w:val="0052527D"/>
    <w:rsid w:val="00526D7B"/>
    <w:rsid w:val="0053192C"/>
    <w:rsid w:val="0053238D"/>
    <w:rsid w:val="00534D8F"/>
    <w:rsid w:val="00534F8A"/>
    <w:rsid w:val="00535734"/>
    <w:rsid w:val="00535D03"/>
    <w:rsid w:val="00536C83"/>
    <w:rsid w:val="00537DE1"/>
    <w:rsid w:val="00537E8C"/>
    <w:rsid w:val="00540111"/>
    <w:rsid w:val="00545E7C"/>
    <w:rsid w:val="00546F7B"/>
    <w:rsid w:val="00547839"/>
    <w:rsid w:val="00550065"/>
    <w:rsid w:val="00551DB8"/>
    <w:rsid w:val="00552D07"/>
    <w:rsid w:val="00554494"/>
    <w:rsid w:val="00560264"/>
    <w:rsid w:val="005606AB"/>
    <w:rsid w:val="0056205E"/>
    <w:rsid w:val="005639F2"/>
    <w:rsid w:val="00564B41"/>
    <w:rsid w:val="0056539B"/>
    <w:rsid w:val="005721A2"/>
    <w:rsid w:val="005737EF"/>
    <w:rsid w:val="00576742"/>
    <w:rsid w:val="005778E1"/>
    <w:rsid w:val="00577DD3"/>
    <w:rsid w:val="0058135A"/>
    <w:rsid w:val="00581684"/>
    <w:rsid w:val="00586C66"/>
    <w:rsid w:val="00587106"/>
    <w:rsid w:val="0059305A"/>
    <w:rsid w:val="00593A94"/>
    <w:rsid w:val="005942BD"/>
    <w:rsid w:val="005956B3"/>
    <w:rsid w:val="00595E13"/>
    <w:rsid w:val="00596843"/>
    <w:rsid w:val="005968DF"/>
    <w:rsid w:val="005A2C8B"/>
    <w:rsid w:val="005A2DCE"/>
    <w:rsid w:val="005A4AA4"/>
    <w:rsid w:val="005A5AC3"/>
    <w:rsid w:val="005A6DA2"/>
    <w:rsid w:val="005A704D"/>
    <w:rsid w:val="005B1402"/>
    <w:rsid w:val="005B1C92"/>
    <w:rsid w:val="005B2B52"/>
    <w:rsid w:val="005B31C2"/>
    <w:rsid w:val="005B397F"/>
    <w:rsid w:val="005B4ABB"/>
    <w:rsid w:val="005B78CE"/>
    <w:rsid w:val="005C0503"/>
    <w:rsid w:val="005C3526"/>
    <w:rsid w:val="005C370D"/>
    <w:rsid w:val="005C51CF"/>
    <w:rsid w:val="005C53CE"/>
    <w:rsid w:val="005C7B20"/>
    <w:rsid w:val="005D31F6"/>
    <w:rsid w:val="005D38DA"/>
    <w:rsid w:val="005D60FE"/>
    <w:rsid w:val="005D6CB3"/>
    <w:rsid w:val="005D6F2A"/>
    <w:rsid w:val="005E060C"/>
    <w:rsid w:val="005E1CD6"/>
    <w:rsid w:val="005E4C8D"/>
    <w:rsid w:val="005E5349"/>
    <w:rsid w:val="005E5975"/>
    <w:rsid w:val="005E7232"/>
    <w:rsid w:val="005E7300"/>
    <w:rsid w:val="005E7476"/>
    <w:rsid w:val="005E7AD4"/>
    <w:rsid w:val="005F1187"/>
    <w:rsid w:val="005F5C96"/>
    <w:rsid w:val="005F7D34"/>
    <w:rsid w:val="00600804"/>
    <w:rsid w:val="0060177B"/>
    <w:rsid w:val="00602DF7"/>
    <w:rsid w:val="006031DF"/>
    <w:rsid w:val="006056BA"/>
    <w:rsid w:val="00606355"/>
    <w:rsid w:val="00610A79"/>
    <w:rsid w:val="006125D8"/>
    <w:rsid w:val="0061303F"/>
    <w:rsid w:val="00614875"/>
    <w:rsid w:val="006149DB"/>
    <w:rsid w:val="00615309"/>
    <w:rsid w:val="00615AED"/>
    <w:rsid w:val="00615B36"/>
    <w:rsid w:val="0061612C"/>
    <w:rsid w:val="00617CD6"/>
    <w:rsid w:val="006217A0"/>
    <w:rsid w:val="00621DBF"/>
    <w:rsid w:val="0062287E"/>
    <w:rsid w:val="006246E4"/>
    <w:rsid w:val="00627EB3"/>
    <w:rsid w:val="006306C0"/>
    <w:rsid w:val="00631E3C"/>
    <w:rsid w:val="00634188"/>
    <w:rsid w:val="00634B6D"/>
    <w:rsid w:val="00635C5F"/>
    <w:rsid w:val="00641C31"/>
    <w:rsid w:val="00642967"/>
    <w:rsid w:val="0064502A"/>
    <w:rsid w:val="00645062"/>
    <w:rsid w:val="006460A1"/>
    <w:rsid w:val="006532EA"/>
    <w:rsid w:val="006558E9"/>
    <w:rsid w:val="00655EA4"/>
    <w:rsid w:val="0065744F"/>
    <w:rsid w:val="006607B4"/>
    <w:rsid w:val="006609D1"/>
    <w:rsid w:val="00661BCE"/>
    <w:rsid w:val="00666B5F"/>
    <w:rsid w:val="00667701"/>
    <w:rsid w:val="00675B90"/>
    <w:rsid w:val="0067641C"/>
    <w:rsid w:val="006771D6"/>
    <w:rsid w:val="006771E6"/>
    <w:rsid w:val="006777F7"/>
    <w:rsid w:val="006816DF"/>
    <w:rsid w:val="00685074"/>
    <w:rsid w:val="006850C2"/>
    <w:rsid w:val="0069053B"/>
    <w:rsid w:val="00690BE8"/>
    <w:rsid w:val="006913D8"/>
    <w:rsid w:val="00693826"/>
    <w:rsid w:val="00693C09"/>
    <w:rsid w:val="00694537"/>
    <w:rsid w:val="00697BBC"/>
    <w:rsid w:val="006A1543"/>
    <w:rsid w:val="006A266C"/>
    <w:rsid w:val="006A26F7"/>
    <w:rsid w:val="006A35D6"/>
    <w:rsid w:val="006A3C8E"/>
    <w:rsid w:val="006A41B5"/>
    <w:rsid w:val="006B0175"/>
    <w:rsid w:val="006B1D7B"/>
    <w:rsid w:val="006B200F"/>
    <w:rsid w:val="006B4481"/>
    <w:rsid w:val="006B4634"/>
    <w:rsid w:val="006C09ED"/>
    <w:rsid w:val="006C15CC"/>
    <w:rsid w:val="006C164B"/>
    <w:rsid w:val="006C1AAA"/>
    <w:rsid w:val="006C4455"/>
    <w:rsid w:val="006C55A0"/>
    <w:rsid w:val="006D254B"/>
    <w:rsid w:val="006D262E"/>
    <w:rsid w:val="006D3DE5"/>
    <w:rsid w:val="006D5AB5"/>
    <w:rsid w:val="006D7CFC"/>
    <w:rsid w:val="006E0D67"/>
    <w:rsid w:val="006E1A21"/>
    <w:rsid w:val="006E355A"/>
    <w:rsid w:val="006E490D"/>
    <w:rsid w:val="006E61B8"/>
    <w:rsid w:val="006E62EC"/>
    <w:rsid w:val="006E7C42"/>
    <w:rsid w:val="006F115C"/>
    <w:rsid w:val="006F2727"/>
    <w:rsid w:val="006F28EC"/>
    <w:rsid w:val="006F3266"/>
    <w:rsid w:val="006F5E5A"/>
    <w:rsid w:val="007053B8"/>
    <w:rsid w:val="007077E3"/>
    <w:rsid w:val="00707B86"/>
    <w:rsid w:val="00713E19"/>
    <w:rsid w:val="007140ED"/>
    <w:rsid w:val="0071485B"/>
    <w:rsid w:val="00714A3F"/>
    <w:rsid w:val="0071626F"/>
    <w:rsid w:val="00721103"/>
    <w:rsid w:val="00731DB3"/>
    <w:rsid w:val="00733DE9"/>
    <w:rsid w:val="007349B7"/>
    <w:rsid w:val="007409AB"/>
    <w:rsid w:val="00742CC6"/>
    <w:rsid w:val="00745B0F"/>
    <w:rsid w:val="00746AD4"/>
    <w:rsid w:val="007500B5"/>
    <w:rsid w:val="00750D8C"/>
    <w:rsid w:val="00750F8B"/>
    <w:rsid w:val="00751AC8"/>
    <w:rsid w:val="007523E8"/>
    <w:rsid w:val="00752878"/>
    <w:rsid w:val="00755B6D"/>
    <w:rsid w:val="00760574"/>
    <w:rsid w:val="00760A7A"/>
    <w:rsid w:val="0076458C"/>
    <w:rsid w:val="007674F6"/>
    <w:rsid w:val="00770FAE"/>
    <w:rsid w:val="00772250"/>
    <w:rsid w:val="00772A97"/>
    <w:rsid w:val="007814CA"/>
    <w:rsid w:val="00781601"/>
    <w:rsid w:val="0078282E"/>
    <w:rsid w:val="00783305"/>
    <w:rsid w:val="00785778"/>
    <w:rsid w:val="00786EBA"/>
    <w:rsid w:val="007870AA"/>
    <w:rsid w:val="0078778D"/>
    <w:rsid w:val="00794CA6"/>
    <w:rsid w:val="00796950"/>
    <w:rsid w:val="00797FA5"/>
    <w:rsid w:val="007A05CB"/>
    <w:rsid w:val="007A08A2"/>
    <w:rsid w:val="007A2A36"/>
    <w:rsid w:val="007A35C3"/>
    <w:rsid w:val="007A417A"/>
    <w:rsid w:val="007A52AB"/>
    <w:rsid w:val="007A7237"/>
    <w:rsid w:val="007A73F6"/>
    <w:rsid w:val="007A7EF3"/>
    <w:rsid w:val="007B0DCF"/>
    <w:rsid w:val="007B1A73"/>
    <w:rsid w:val="007B3435"/>
    <w:rsid w:val="007C07F3"/>
    <w:rsid w:val="007C09DC"/>
    <w:rsid w:val="007C4D8C"/>
    <w:rsid w:val="007D005A"/>
    <w:rsid w:val="007D2B5D"/>
    <w:rsid w:val="007D3949"/>
    <w:rsid w:val="007D4F6B"/>
    <w:rsid w:val="007E23D2"/>
    <w:rsid w:val="007E2A60"/>
    <w:rsid w:val="007E3098"/>
    <w:rsid w:val="007E4D64"/>
    <w:rsid w:val="007E5AF2"/>
    <w:rsid w:val="007E5EC9"/>
    <w:rsid w:val="007E63A9"/>
    <w:rsid w:val="007F02E1"/>
    <w:rsid w:val="007F13FD"/>
    <w:rsid w:val="007F1F90"/>
    <w:rsid w:val="007F24C0"/>
    <w:rsid w:val="007F3FA6"/>
    <w:rsid w:val="007F4007"/>
    <w:rsid w:val="007F42BF"/>
    <w:rsid w:val="007F57D9"/>
    <w:rsid w:val="007F59FA"/>
    <w:rsid w:val="007F5C7F"/>
    <w:rsid w:val="007F7E1A"/>
    <w:rsid w:val="00800462"/>
    <w:rsid w:val="008014CB"/>
    <w:rsid w:val="00803B26"/>
    <w:rsid w:val="008048E3"/>
    <w:rsid w:val="008050FB"/>
    <w:rsid w:val="00805125"/>
    <w:rsid w:val="0080557F"/>
    <w:rsid w:val="0080558A"/>
    <w:rsid w:val="00810CBE"/>
    <w:rsid w:val="008150BB"/>
    <w:rsid w:val="00815243"/>
    <w:rsid w:val="00815C59"/>
    <w:rsid w:val="0081607B"/>
    <w:rsid w:val="00817B34"/>
    <w:rsid w:val="00820637"/>
    <w:rsid w:val="00825E3D"/>
    <w:rsid w:val="008269DD"/>
    <w:rsid w:val="00827923"/>
    <w:rsid w:val="00830BDD"/>
    <w:rsid w:val="00832D4E"/>
    <w:rsid w:val="00842C03"/>
    <w:rsid w:val="008465CE"/>
    <w:rsid w:val="00846F51"/>
    <w:rsid w:val="00847B28"/>
    <w:rsid w:val="00850CB7"/>
    <w:rsid w:val="00850E62"/>
    <w:rsid w:val="00851301"/>
    <w:rsid w:val="00852761"/>
    <w:rsid w:val="0085285F"/>
    <w:rsid w:val="00853F95"/>
    <w:rsid w:val="0085421F"/>
    <w:rsid w:val="00854EBA"/>
    <w:rsid w:val="008564A9"/>
    <w:rsid w:val="0085670E"/>
    <w:rsid w:val="00860DBD"/>
    <w:rsid w:val="00861C90"/>
    <w:rsid w:val="00862048"/>
    <w:rsid w:val="008625E0"/>
    <w:rsid w:val="0086277D"/>
    <w:rsid w:val="00870CD9"/>
    <w:rsid w:val="008718B1"/>
    <w:rsid w:val="00873B81"/>
    <w:rsid w:val="00874588"/>
    <w:rsid w:val="008804E4"/>
    <w:rsid w:val="008845AC"/>
    <w:rsid w:val="00885292"/>
    <w:rsid w:val="008852A4"/>
    <w:rsid w:val="00885D4B"/>
    <w:rsid w:val="00893DFD"/>
    <w:rsid w:val="008A33BA"/>
    <w:rsid w:val="008A3C7A"/>
    <w:rsid w:val="008A4AFE"/>
    <w:rsid w:val="008A4EB1"/>
    <w:rsid w:val="008A73A8"/>
    <w:rsid w:val="008B1CA2"/>
    <w:rsid w:val="008B2B87"/>
    <w:rsid w:val="008B4F76"/>
    <w:rsid w:val="008B53A4"/>
    <w:rsid w:val="008B657D"/>
    <w:rsid w:val="008B7385"/>
    <w:rsid w:val="008C0FCB"/>
    <w:rsid w:val="008C1D47"/>
    <w:rsid w:val="008C33CF"/>
    <w:rsid w:val="008C506F"/>
    <w:rsid w:val="008D042F"/>
    <w:rsid w:val="008D0BAB"/>
    <w:rsid w:val="008D30CC"/>
    <w:rsid w:val="008D6B23"/>
    <w:rsid w:val="008D6D27"/>
    <w:rsid w:val="008E024A"/>
    <w:rsid w:val="008E2117"/>
    <w:rsid w:val="008E3044"/>
    <w:rsid w:val="008E42E4"/>
    <w:rsid w:val="008E654F"/>
    <w:rsid w:val="008F0150"/>
    <w:rsid w:val="008F1B9A"/>
    <w:rsid w:val="008F20F7"/>
    <w:rsid w:val="008F31D8"/>
    <w:rsid w:val="008F42B3"/>
    <w:rsid w:val="008F6C58"/>
    <w:rsid w:val="0090257D"/>
    <w:rsid w:val="00902873"/>
    <w:rsid w:val="00905D13"/>
    <w:rsid w:val="00906BB2"/>
    <w:rsid w:val="0090703F"/>
    <w:rsid w:val="00907275"/>
    <w:rsid w:val="0090786F"/>
    <w:rsid w:val="00911F04"/>
    <w:rsid w:val="00913AD3"/>
    <w:rsid w:val="00913AE7"/>
    <w:rsid w:val="00916FFC"/>
    <w:rsid w:val="00917359"/>
    <w:rsid w:val="00921547"/>
    <w:rsid w:val="00924D9A"/>
    <w:rsid w:val="009251C8"/>
    <w:rsid w:val="00927A78"/>
    <w:rsid w:val="00931516"/>
    <w:rsid w:val="00936931"/>
    <w:rsid w:val="00936983"/>
    <w:rsid w:val="00945BAB"/>
    <w:rsid w:val="00946C02"/>
    <w:rsid w:val="00946E01"/>
    <w:rsid w:val="00947E03"/>
    <w:rsid w:val="009510E8"/>
    <w:rsid w:val="009516E4"/>
    <w:rsid w:val="009536F3"/>
    <w:rsid w:val="00953A71"/>
    <w:rsid w:val="00954169"/>
    <w:rsid w:val="00954481"/>
    <w:rsid w:val="00954A6D"/>
    <w:rsid w:val="0095625F"/>
    <w:rsid w:val="00957088"/>
    <w:rsid w:val="00960F06"/>
    <w:rsid w:val="00961123"/>
    <w:rsid w:val="00962767"/>
    <w:rsid w:val="00962ED2"/>
    <w:rsid w:val="00963997"/>
    <w:rsid w:val="00964126"/>
    <w:rsid w:val="00967D08"/>
    <w:rsid w:val="0097148D"/>
    <w:rsid w:val="00972516"/>
    <w:rsid w:val="0097408C"/>
    <w:rsid w:val="00974C20"/>
    <w:rsid w:val="009758F5"/>
    <w:rsid w:val="00975C97"/>
    <w:rsid w:val="0097624D"/>
    <w:rsid w:val="00976F52"/>
    <w:rsid w:val="00980F63"/>
    <w:rsid w:val="00983F77"/>
    <w:rsid w:val="009860AB"/>
    <w:rsid w:val="00990355"/>
    <w:rsid w:val="009916DD"/>
    <w:rsid w:val="009962D1"/>
    <w:rsid w:val="009A057D"/>
    <w:rsid w:val="009A0663"/>
    <w:rsid w:val="009A17C0"/>
    <w:rsid w:val="009A1B3B"/>
    <w:rsid w:val="009A278D"/>
    <w:rsid w:val="009A29CE"/>
    <w:rsid w:val="009A68C0"/>
    <w:rsid w:val="009A69A3"/>
    <w:rsid w:val="009A7217"/>
    <w:rsid w:val="009B0D48"/>
    <w:rsid w:val="009B11DA"/>
    <w:rsid w:val="009B6542"/>
    <w:rsid w:val="009B6DF2"/>
    <w:rsid w:val="009B71B6"/>
    <w:rsid w:val="009C1341"/>
    <w:rsid w:val="009C538C"/>
    <w:rsid w:val="009C60CC"/>
    <w:rsid w:val="009D22A1"/>
    <w:rsid w:val="009D2779"/>
    <w:rsid w:val="009D3F34"/>
    <w:rsid w:val="009D494A"/>
    <w:rsid w:val="009E13BE"/>
    <w:rsid w:val="009E1BB1"/>
    <w:rsid w:val="009E25E9"/>
    <w:rsid w:val="009E3BFA"/>
    <w:rsid w:val="009E4C83"/>
    <w:rsid w:val="009E4E1C"/>
    <w:rsid w:val="009E50D4"/>
    <w:rsid w:val="009E750E"/>
    <w:rsid w:val="009F10E1"/>
    <w:rsid w:val="009F1FF9"/>
    <w:rsid w:val="009F2DD9"/>
    <w:rsid w:val="009F4975"/>
    <w:rsid w:val="009F5171"/>
    <w:rsid w:val="009F593A"/>
    <w:rsid w:val="009F5EF1"/>
    <w:rsid w:val="009F613B"/>
    <w:rsid w:val="009F7207"/>
    <w:rsid w:val="009F75E6"/>
    <w:rsid w:val="00A05CF7"/>
    <w:rsid w:val="00A07E59"/>
    <w:rsid w:val="00A11DE1"/>
    <w:rsid w:val="00A12C5F"/>
    <w:rsid w:val="00A13714"/>
    <w:rsid w:val="00A13B5A"/>
    <w:rsid w:val="00A161E5"/>
    <w:rsid w:val="00A2023E"/>
    <w:rsid w:val="00A31DB7"/>
    <w:rsid w:val="00A42BDC"/>
    <w:rsid w:val="00A43480"/>
    <w:rsid w:val="00A45094"/>
    <w:rsid w:val="00A45629"/>
    <w:rsid w:val="00A459B2"/>
    <w:rsid w:val="00A46364"/>
    <w:rsid w:val="00A46FFA"/>
    <w:rsid w:val="00A51D88"/>
    <w:rsid w:val="00A52C0E"/>
    <w:rsid w:val="00A54D74"/>
    <w:rsid w:val="00A56547"/>
    <w:rsid w:val="00A606BF"/>
    <w:rsid w:val="00A60ABD"/>
    <w:rsid w:val="00A62FDD"/>
    <w:rsid w:val="00A65B08"/>
    <w:rsid w:val="00A65E6F"/>
    <w:rsid w:val="00A70FCC"/>
    <w:rsid w:val="00A73715"/>
    <w:rsid w:val="00A74794"/>
    <w:rsid w:val="00A75750"/>
    <w:rsid w:val="00A75E44"/>
    <w:rsid w:val="00A80537"/>
    <w:rsid w:val="00A80815"/>
    <w:rsid w:val="00A8229A"/>
    <w:rsid w:val="00A91E8A"/>
    <w:rsid w:val="00A934F9"/>
    <w:rsid w:val="00A94360"/>
    <w:rsid w:val="00A95241"/>
    <w:rsid w:val="00A96463"/>
    <w:rsid w:val="00A9783B"/>
    <w:rsid w:val="00AA08E2"/>
    <w:rsid w:val="00AA4E9B"/>
    <w:rsid w:val="00AB27B8"/>
    <w:rsid w:val="00AB29E0"/>
    <w:rsid w:val="00AB39D3"/>
    <w:rsid w:val="00AB3DF6"/>
    <w:rsid w:val="00AB5039"/>
    <w:rsid w:val="00AB60F1"/>
    <w:rsid w:val="00AC163D"/>
    <w:rsid w:val="00AC3807"/>
    <w:rsid w:val="00AC4A74"/>
    <w:rsid w:val="00AC5560"/>
    <w:rsid w:val="00AC5B77"/>
    <w:rsid w:val="00AC6CEF"/>
    <w:rsid w:val="00AC6E97"/>
    <w:rsid w:val="00AC749E"/>
    <w:rsid w:val="00AC7D82"/>
    <w:rsid w:val="00AC7E9A"/>
    <w:rsid w:val="00AD06F9"/>
    <w:rsid w:val="00AD4DDC"/>
    <w:rsid w:val="00AD5C00"/>
    <w:rsid w:val="00AD5E8A"/>
    <w:rsid w:val="00AD7942"/>
    <w:rsid w:val="00AE3FC8"/>
    <w:rsid w:val="00AF1F79"/>
    <w:rsid w:val="00AF32A4"/>
    <w:rsid w:val="00AF5901"/>
    <w:rsid w:val="00AF61A8"/>
    <w:rsid w:val="00AF70F5"/>
    <w:rsid w:val="00AF7A70"/>
    <w:rsid w:val="00B01FCE"/>
    <w:rsid w:val="00B02E02"/>
    <w:rsid w:val="00B06D5C"/>
    <w:rsid w:val="00B078E9"/>
    <w:rsid w:val="00B113DF"/>
    <w:rsid w:val="00B135A5"/>
    <w:rsid w:val="00B15509"/>
    <w:rsid w:val="00B15578"/>
    <w:rsid w:val="00B17EF1"/>
    <w:rsid w:val="00B20EA4"/>
    <w:rsid w:val="00B234D7"/>
    <w:rsid w:val="00B252A3"/>
    <w:rsid w:val="00B25B8F"/>
    <w:rsid w:val="00B27561"/>
    <w:rsid w:val="00B308E6"/>
    <w:rsid w:val="00B32809"/>
    <w:rsid w:val="00B3346F"/>
    <w:rsid w:val="00B36ECF"/>
    <w:rsid w:val="00B37066"/>
    <w:rsid w:val="00B37C37"/>
    <w:rsid w:val="00B410D8"/>
    <w:rsid w:val="00B42665"/>
    <w:rsid w:val="00B43B59"/>
    <w:rsid w:val="00B44BAD"/>
    <w:rsid w:val="00B52CDD"/>
    <w:rsid w:val="00B5486D"/>
    <w:rsid w:val="00B54E75"/>
    <w:rsid w:val="00B55E22"/>
    <w:rsid w:val="00B57B88"/>
    <w:rsid w:val="00B60865"/>
    <w:rsid w:val="00B62221"/>
    <w:rsid w:val="00B6488F"/>
    <w:rsid w:val="00B64AAA"/>
    <w:rsid w:val="00B66EC8"/>
    <w:rsid w:val="00B719F3"/>
    <w:rsid w:val="00B731FE"/>
    <w:rsid w:val="00B74132"/>
    <w:rsid w:val="00B7522C"/>
    <w:rsid w:val="00B77050"/>
    <w:rsid w:val="00B8110E"/>
    <w:rsid w:val="00B81904"/>
    <w:rsid w:val="00B82AA7"/>
    <w:rsid w:val="00B82D5D"/>
    <w:rsid w:val="00B83F3F"/>
    <w:rsid w:val="00B868E8"/>
    <w:rsid w:val="00B87470"/>
    <w:rsid w:val="00B907DE"/>
    <w:rsid w:val="00B9244F"/>
    <w:rsid w:val="00B9282A"/>
    <w:rsid w:val="00B93D2D"/>
    <w:rsid w:val="00B94A78"/>
    <w:rsid w:val="00B95970"/>
    <w:rsid w:val="00B95C49"/>
    <w:rsid w:val="00B97992"/>
    <w:rsid w:val="00BB443B"/>
    <w:rsid w:val="00BB45C5"/>
    <w:rsid w:val="00BB4C6F"/>
    <w:rsid w:val="00BB5A5A"/>
    <w:rsid w:val="00BC0C33"/>
    <w:rsid w:val="00BC208E"/>
    <w:rsid w:val="00BC228C"/>
    <w:rsid w:val="00BC436B"/>
    <w:rsid w:val="00BC56AF"/>
    <w:rsid w:val="00BC624F"/>
    <w:rsid w:val="00BC724B"/>
    <w:rsid w:val="00BC7853"/>
    <w:rsid w:val="00BD0E22"/>
    <w:rsid w:val="00BD1726"/>
    <w:rsid w:val="00BD4645"/>
    <w:rsid w:val="00BD664E"/>
    <w:rsid w:val="00BE05C4"/>
    <w:rsid w:val="00BE18FF"/>
    <w:rsid w:val="00BE226D"/>
    <w:rsid w:val="00BE2AF2"/>
    <w:rsid w:val="00BE3533"/>
    <w:rsid w:val="00BE4369"/>
    <w:rsid w:val="00BE4FAC"/>
    <w:rsid w:val="00BE6BC5"/>
    <w:rsid w:val="00BF060F"/>
    <w:rsid w:val="00BF2EEF"/>
    <w:rsid w:val="00BF33AA"/>
    <w:rsid w:val="00BF47F1"/>
    <w:rsid w:val="00BF4C8D"/>
    <w:rsid w:val="00BF5EB8"/>
    <w:rsid w:val="00BF6FB8"/>
    <w:rsid w:val="00C0128F"/>
    <w:rsid w:val="00C0130B"/>
    <w:rsid w:val="00C016A5"/>
    <w:rsid w:val="00C11803"/>
    <w:rsid w:val="00C124B5"/>
    <w:rsid w:val="00C1500A"/>
    <w:rsid w:val="00C17E89"/>
    <w:rsid w:val="00C24797"/>
    <w:rsid w:val="00C25354"/>
    <w:rsid w:val="00C25D09"/>
    <w:rsid w:val="00C300E8"/>
    <w:rsid w:val="00C3229F"/>
    <w:rsid w:val="00C326D0"/>
    <w:rsid w:val="00C344F2"/>
    <w:rsid w:val="00C34F22"/>
    <w:rsid w:val="00C35703"/>
    <w:rsid w:val="00C35CCC"/>
    <w:rsid w:val="00C3686C"/>
    <w:rsid w:val="00C36C36"/>
    <w:rsid w:val="00C40A92"/>
    <w:rsid w:val="00C42433"/>
    <w:rsid w:val="00C4478C"/>
    <w:rsid w:val="00C44F85"/>
    <w:rsid w:val="00C46AC3"/>
    <w:rsid w:val="00C50B25"/>
    <w:rsid w:val="00C51BB7"/>
    <w:rsid w:val="00C56053"/>
    <w:rsid w:val="00C5747A"/>
    <w:rsid w:val="00C6068B"/>
    <w:rsid w:val="00C613AD"/>
    <w:rsid w:val="00C619EC"/>
    <w:rsid w:val="00C665F1"/>
    <w:rsid w:val="00C70F89"/>
    <w:rsid w:val="00C72AC4"/>
    <w:rsid w:val="00C72E72"/>
    <w:rsid w:val="00C73AFB"/>
    <w:rsid w:val="00C74337"/>
    <w:rsid w:val="00C75577"/>
    <w:rsid w:val="00C7581D"/>
    <w:rsid w:val="00C76B2B"/>
    <w:rsid w:val="00C81C04"/>
    <w:rsid w:val="00C860C6"/>
    <w:rsid w:val="00C862F3"/>
    <w:rsid w:val="00C973FA"/>
    <w:rsid w:val="00CA1491"/>
    <w:rsid w:val="00CA4084"/>
    <w:rsid w:val="00CA40E4"/>
    <w:rsid w:val="00CB058D"/>
    <w:rsid w:val="00CB07EA"/>
    <w:rsid w:val="00CB1D59"/>
    <w:rsid w:val="00CB3D99"/>
    <w:rsid w:val="00CB403A"/>
    <w:rsid w:val="00CB40D6"/>
    <w:rsid w:val="00CB5004"/>
    <w:rsid w:val="00CC0EE4"/>
    <w:rsid w:val="00CC3A65"/>
    <w:rsid w:val="00CC3FEF"/>
    <w:rsid w:val="00CC6F75"/>
    <w:rsid w:val="00CD1AFD"/>
    <w:rsid w:val="00CD420D"/>
    <w:rsid w:val="00CD4878"/>
    <w:rsid w:val="00CD58AB"/>
    <w:rsid w:val="00CD7919"/>
    <w:rsid w:val="00CE07CC"/>
    <w:rsid w:val="00CE1F1C"/>
    <w:rsid w:val="00CE2778"/>
    <w:rsid w:val="00CE4EE3"/>
    <w:rsid w:val="00CE667D"/>
    <w:rsid w:val="00CE7158"/>
    <w:rsid w:val="00CE71F4"/>
    <w:rsid w:val="00CF0EF2"/>
    <w:rsid w:val="00CF26FD"/>
    <w:rsid w:val="00CF5660"/>
    <w:rsid w:val="00D00376"/>
    <w:rsid w:val="00D009C2"/>
    <w:rsid w:val="00D0154C"/>
    <w:rsid w:val="00D01A46"/>
    <w:rsid w:val="00D04306"/>
    <w:rsid w:val="00D0743C"/>
    <w:rsid w:val="00D11469"/>
    <w:rsid w:val="00D135E7"/>
    <w:rsid w:val="00D13A9A"/>
    <w:rsid w:val="00D14F0C"/>
    <w:rsid w:val="00D1508E"/>
    <w:rsid w:val="00D15A10"/>
    <w:rsid w:val="00D176FF"/>
    <w:rsid w:val="00D20F57"/>
    <w:rsid w:val="00D21FE6"/>
    <w:rsid w:val="00D2589D"/>
    <w:rsid w:val="00D26B6A"/>
    <w:rsid w:val="00D30A89"/>
    <w:rsid w:val="00D33537"/>
    <w:rsid w:val="00D352A8"/>
    <w:rsid w:val="00D35D7B"/>
    <w:rsid w:val="00D360AB"/>
    <w:rsid w:val="00D37924"/>
    <w:rsid w:val="00D41CF1"/>
    <w:rsid w:val="00D41DA1"/>
    <w:rsid w:val="00D43108"/>
    <w:rsid w:val="00D47252"/>
    <w:rsid w:val="00D56F68"/>
    <w:rsid w:val="00D5770F"/>
    <w:rsid w:val="00D638A8"/>
    <w:rsid w:val="00D66D53"/>
    <w:rsid w:val="00D731FC"/>
    <w:rsid w:val="00D74F51"/>
    <w:rsid w:val="00D7685A"/>
    <w:rsid w:val="00D7770D"/>
    <w:rsid w:val="00D80862"/>
    <w:rsid w:val="00D82FF7"/>
    <w:rsid w:val="00D83616"/>
    <w:rsid w:val="00D86439"/>
    <w:rsid w:val="00D87118"/>
    <w:rsid w:val="00D9049B"/>
    <w:rsid w:val="00D92D03"/>
    <w:rsid w:val="00D92D8F"/>
    <w:rsid w:val="00D9441F"/>
    <w:rsid w:val="00D95033"/>
    <w:rsid w:val="00D95B53"/>
    <w:rsid w:val="00D97E5A"/>
    <w:rsid w:val="00DA2AD2"/>
    <w:rsid w:val="00DA2C00"/>
    <w:rsid w:val="00DA2FA0"/>
    <w:rsid w:val="00DA6C9A"/>
    <w:rsid w:val="00DB11CA"/>
    <w:rsid w:val="00DB268D"/>
    <w:rsid w:val="00DB2741"/>
    <w:rsid w:val="00DB3536"/>
    <w:rsid w:val="00DB43E3"/>
    <w:rsid w:val="00DC0BA8"/>
    <w:rsid w:val="00DC2597"/>
    <w:rsid w:val="00DC48DC"/>
    <w:rsid w:val="00DC52B6"/>
    <w:rsid w:val="00DC63A5"/>
    <w:rsid w:val="00DC6C41"/>
    <w:rsid w:val="00DC7177"/>
    <w:rsid w:val="00DC73C2"/>
    <w:rsid w:val="00DD15C7"/>
    <w:rsid w:val="00DD7CED"/>
    <w:rsid w:val="00DE119F"/>
    <w:rsid w:val="00DE1A41"/>
    <w:rsid w:val="00DE4B34"/>
    <w:rsid w:val="00DF2412"/>
    <w:rsid w:val="00DF378D"/>
    <w:rsid w:val="00DF71A8"/>
    <w:rsid w:val="00E002C2"/>
    <w:rsid w:val="00E02AA4"/>
    <w:rsid w:val="00E03BF5"/>
    <w:rsid w:val="00E03D1C"/>
    <w:rsid w:val="00E04116"/>
    <w:rsid w:val="00E05421"/>
    <w:rsid w:val="00E0608B"/>
    <w:rsid w:val="00E066A9"/>
    <w:rsid w:val="00E067FD"/>
    <w:rsid w:val="00E10662"/>
    <w:rsid w:val="00E109AD"/>
    <w:rsid w:val="00E11D80"/>
    <w:rsid w:val="00E173D6"/>
    <w:rsid w:val="00E17CC4"/>
    <w:rsid w:val="00E21D06"/>
    <w:rsid w:val="00E2739B"/>
    <w:rsid w:val="00E40848"/>
    <w:rsid w:val="00E41178"/>
    <w:rsid w:val="00E414C9"/>
    <w:rsid w:val="00E41845"/>
    <w:rsid w:val="00E42B2A"/>
    <w:rsid w:val="00E44368"/>
    <w:rsid w:val="00E448C9"/>
    <w:rsid w:val="00E52BB5"/>
    <w:rsid w:val="00E52D76"/>
    <w:rsid w:val="00E531E6"/>
    <w:rsid w:val="00E55145"/>
    <w:rsid w:val="00E55576"/>
    <w:rsid w:val="00E63AB4"/>
    <w:rsid w:val="00E669D0"/>
    <w:rsid w:val="00E70A18"/>
    <w:rsid w:val="00E72184"/>
    <w:rsid w:val="00E727CA"/>
    <w:rsid w:val="00E758EC"/>
    <w:rsid w:val="00E766C1"/>
    <w:rsid w:val="00E76CD7"/>
    <w:rsid w:val="00E76FC9"/>
    <w:rsid w:val="00E77E93"/>
    <w:rsid w:val="00E8021A"/>
    <w:rsid w:val="00E85069"/>
    <w:rsid w:val="00E86348"/>
    <w:rsid w:val="00E86B95"/>
    <w:rsid w:val="00E9068E"/>
    <w:rsid w:val="00E9544C"/>
    <w:rsid w:val="00E97DA2"/>
    <w:rsid w:val="00EA2EE4"/>
    <w:rsid w:val="00EA338E"/>
    <w:rsid w:val="00EA47A1"/>
    <w:rsid w:val="00EA4E7E"/>
    <w:rsid w:val="00EA5C34"/>
    <w:rsid w:val="00EA6393"/>
    <w:rsid w:val="00EB1611"/>
    <w:rsid w:val="00EB1712"/>
    <w:rsid w:val="00EB2F31"/>
    <w:rsid w:val="00EB419E"/>
    <w:rsid w:val="00EB5C17"/>
    <w:rsid w:val="00EC161C"/>
    <w:rsid w:val="00EC1D7D"/>
    <w:rsid w:val="00EC2119"/>
    <w:rsid w:val="00EC2E43"/>
    <w:rsid w:val="00EC63AA"/>
    <w:rsid w:val="00ED105B"/>
    <w:rsid w:val="00ED389B"/>
    <w:rsid w:val="00ED3BC9"/>
    <w:rsid w:val="00ED4F89"/>
    <w:rsid w:val="00ED6078"/>
    <w:rsid w:val="00EE013B"/>
    <w:rsid w:val="00EE036A"/>
    <w:rsid w:val="00EE1238"/>
    <w:rsid w:val="00EE560D"/>
    <w:rsid w:val="00EE6560"/>
    <w:rsid w:val="00EE6C3C"/>
    <w:rsid w:val="00EF01D7"/>
    <w:rsid w:val="00EF227F"/>
    <w:rsid w:val="00EF48EE"/>
    <w:rsid w:val="00EF4DDC"/>
    <w:rsid w:val="00F04A4B"/>
    <w:rsid w:val="00F05DEC"/>
    <w:rsid w:val="00F06280"/>
    <w:rsid w:val="00F06334"/>
    <w:rsid w:val="00F112C0"/>
    <w:rsid w:val="00F11EA0"/>
    <w:rsid w:val="00F128F2"/>
    <w:rsid w:val="00F142C2"/>
    <w:rsid w:val="00F16CD4"/>
    <w:rsid w:val="00F16EA0"/>
    <w:rsid w:val="00F17097"/>
    <w:rsid w:val="00F175EF"/>
    <w:rsid w:val="00F2257B"/>
    <w:rsid w:val="00F23DEA"/>
    <w:rsid w:val="00F259AE"/>
    <w:rsid w:val="00F2732B"/>
    <w:rsid w:val="00F30B88"/>
    <w:rsid w:val="00F337A8"/>
    <w:rsid w:val="00F352AF"/>
    <w:rsid w:val="00F40AF0"/>
    <w:rsid w:val="00F47380"/>
    <w:rsid w:val="00F50B3A"/>
    <w:rsid w:val="00F50D3A"/>
    <w:rsid w:val="00F52B06"/>
    <w:rsid w:val="00F52CB0"/>
    <w:rsid w:val="00F54F08"/>
    <w:rsid w:val="00F6027C"/>
    <w:rsid w:val="00F6138F"/>
    <w:rsid w:val="00F61606"/>
    <w:rsid w:val="00F6329F"/>
    <w:rsid w:val="00F6449F"/>
    <w:rsid w:val="00F645D0"/>
    <w:rsid w:val="00F65964"/>
    <w:rsid w:val="00F664B6"/>
    <w:rsid w:val="00F71569"/>
    <w:rsid w:val="00F742F8"/>
    <w:rsid w:val="00F76D66"/>
    <w:rsid w:val="00F8121F"/>
    <w:rsid w:val="00F82601"/>
    <w:rsid w:val="00F83184"/>
    <w:rsid w:val="00F863F3"/>
    <w:rsid w:val="00F907C6"/>
    <w:rsid w:val="00F91471"/>
    <w:rsid w:val="00F9501A"/>
    <w:rsid w:val="00F96A4E"/>
    <w:rsid w:val="00F97357"/>
    <w:rsid w:val="00F9771C"/>
    <w:rsid w:val="00FA11BA"/>
    <w:rsid w:val="00FA36AA"/>
    <w:rsid w:val="00FA7A23"/>
    <w:rsid w:val="00FA7FB1"/>
    <w:rsid w:val="00FB0442"/>
    <w:rsid w:val="00FB7E70"/>
    <w:rsid w:val="00FC0E35"/>
    <w:rsid w:val="00FC789F"/>
    <w:rsid w:val="00FD139D"/>
    <w:rsid w:val="00FD2684"/>
    <w:rsid w:val="00FD4369"/>
    <w:rsid w:val="00FD59DA"/>
    <w:rsid w:val="00FD5AB0"/>
    <w:rsid w:val="00FD6511"/>
    <w:rsid w:val="00FD729F"/>
    <w:rsid w:val="00FE18D7"/>
    <w:rsid w:val="00FE300A"/>
    <w:rsid w:val="00FE5727"/>
    <w:rsid w:val="00FF1E00"/>
    <w:rsid w:val="00FF22BC"/>
    <w:rsid w:val="00FF2B2C"/>
    <w:rsid w:val="00FF5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C8"/>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51C8"/>
    <w:rPr>
      <w:color w:val="0563C1" w:themeColor="hyperlink"/>
      <w:u w:val="single"/>
    </w:rPr>
  </w:style>
  <w:style w:type="paragraph" w:styleId="NormalWeb">
    <w:name w:val="Normal (Web)"/>
    <w:basedOn w:val="Normal"/>
    <w:uiPriority w:val="99"/>
    <w:unhideWhenUsed/>
    <w:rsid w:val="00925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1C8"/>
    <w:rPr>
      <w:b/>
      <w:bCs/>
    </w:rPr>
  </w:style>
  <w:style w:type="table" w:styleId="TableGrid">
    <w:name w:val="Table Grid"/>
    <w:basedOn w:val="TableNormal"/>
    <w:uiPriority w:val="39"/>
    <w:rsid w:val="0092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1C8"/>
    <w:pPr>
      <w:ind w:left="720"/>
      <w:contextualSpacing/>
    </w:pPr>
  </w:style>
  <w:style w:type="character" w:styleId="FollowedHyperlink">
    <w:name w:val="FollowedHyperlink"/>
    <w:basedOn w:val="DefaultParagraphFont"/>
    <w:uiPriority w:val="99"/>
    <w:semiHidden/>
    <w:unhideWhenUsed/>
    <w:rsid w:val="00AB29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C8"/>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51C8"/>
    <w:rPr>
      <w:color w:val="0563C1" w:themeColor="hyperlink"/>
      <w:u w:val="single"/>
    </w:rPr>
  </w:style>
  <w:style w:type="paragraph" w:styleId="NormalWeb">
    <w:name w:val="Normal (Web)"/>
    <w:basedOn w:val="Normal"/>
    <w:uiPriority w:val="99"/>
    <w:unhideWhenUsed/>
    <w:rsid w:val="009251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1C8"/>
    <w:rPr>
      <w:b/>
      <w:bCs/>
    </w:rPr>
  </w:style>
  <w:style w:type="table" w:styleId="TableGrid">
    <w:name w:val="Table Grid"/>
    <w:basedOn w:val="TableNormal"/>
    <w:uiPriority w:val="39"/>
    <w:rsid w:val="0092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1C8"/>
    <w:pPr>
      <w:ind w:left="720"/>
      <w:contextualSpacing/>
    </w:pPr>
  </w:style>
  <w:style w:type="character" w:styleId="FollowedHyperlink">
    <w:name w:val="FollowedHyperlink"/>
    <w:basedOn w:val="DefaultParagraphFont"/>
    <w:uiPriority w:val="99"/>
    <w:semiHidden/>
    <w:unhideWhenUsed/>
    <w:rsid w:val="00AB2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2435">
      <w:bodyDiv w:val="1"/>
      <w:marLeft w:val="0"/>
      <w:marRight w:val="0"/>
      <w:marTop w:val="0"/>
      <w:marBottom w:val="0"/>
      <w:divBdr>
        <w:top w:val="none" w:sz="0" w:space="0" w:color="auto"/>
        <w:left w:val="none" w:sz="0" w:space="0" w:color="auto"/>
        <w:bottom w:val="none" w:sz="0" w:space="0" w:color="auto"/>
        <w:right w:val="none" w:sz="0" w:space="0" w:color="auto"/>
      </w:divBdr>
    </w:div>
    <w:div w:id="1281646604">
      <w:bodyDiv w:val="1"/>
      <w:marLeft w:val="0"/>
      <w:marRight w:val="0"/>
      <w:marTop w:val="0"/>
      <w:marBottom w:val="0"/>
      <w:divBdr>
        <w:top w:val="none" w:sz="0" w:space="0" w:color="auto"/>
        <w:left w:val="none" w:sz="0" w:space="0" w:color="auto"/>
        <w:bottom w:val="none" w:sz="0" w:space="0" w:color="auto"/>
        <w:right w:val="none" w:sz="0" w:space="0" w:color="auto"/>
      </w:divBdr>
    </w:div>
    <w:div w:id="19282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journey.scot/node/455/" TargetMode="External"/><Relationship Id="rId3" Type="http://schemas.microsoft.com/office/2007/relationships/stylesWithEffects" Target="stylesWithEffects.xml"/><Relationship Id="rId7" Type="http://schemas.openxmlformats.org/officeDocument/2006/relationships/hyperlink" Target="http://www.gcu.ac.uk/financeoffice/procurement/procurementjour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u.ac.uk/financeoffice/procurement/procurementjourn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ssi/2015/446/introduction/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Van Gelder</dc:creator>
  <cp:lastModifiedBy>Setup</cp:lastModifiedBy>
  <cp:revision>6</cp:revision>
  <dcterms:created xsi:type="dcterms:W3CDTF">2019-05-22T12:33:00Z</dcterms:created>
  <dcterms:modified xsi:type="dcterms:W3CDTF">2020-02-08T18:38:00Z</dcterms:modified>
</cp:coreProperties>
</file>