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EA" w:rsidRDefault="00AB21EA" w:rsidP="00AB21EA">
      <w:pPr>
        <w:pStyle w:val="ListParagraph"/>
        <w:ind w:left="567" w:hanging="567"/>
        <w:rPr>
          <w:rFonts w:cs="Calibri"/>
          <w:b/>
          <w:sz w:val="24"/>
          <w:szCs w:val="24"/>
        </w:rPr>
      </w:pPr>
      <w:bookmarkStart w:id="0" w:name="_GoBack"/>
      <w:bookmarkEnd w:id="0"/>
    </w:p>
    <w:p w:rsidR="00AB21EA" w:rsidRPr="003F1A86" w:rsidRDefault="00AB21EA" w:rsidP="00AB21EA">
      <w:pPr>
        <w:ind w:left="567"/>
        <w:rPr>
          <w:rFonts w:cs="Calibri"/>
          <w:b/>
          <w:bCs/>
          <w:iCs/>
        </w:rPr>
      </w:pPr>
      <w:r w:rsidRPr="003F1A86">
        <w:rPr>
          <w:rFonts w:cs="Calibri"/>
          <w:b/>
          <w:bCs/>
          <w:iCs/>
        </w:rPr>
        <w:t>Additional Control measures – Biological agents</w:t>
      </w:r>
    </w:p>
    <w:p w:rsidR="00AB21EA" w:rsidRPr="003F1A86" w:rsidRDefault="00AB21EA" w:rsidP="00AB21EA">
      <w:pPr>
        <w:ind w:left="567"/>
        <w:rPr>
          <w:rFonts w:cs="Calibri"/>
          <w:bCs/>
          <w:iCs/>
        </w:rPr>
      </w:pPr>
    </w:p>
    <w:p w:rsidR="00AB21EA" w:rsidRPr="00882DF3" w:rsidRDefault="00AB21EA" w:rsidP="00AB21EA">
      <w:pPr>
        <w:ind w:left="567"/>
        <w:rPr>
          <w:rFonts w:ascii="Helvetica 45 Light" w:hAnsi="Helvetica 45 Light" w:cs="Helvetica 45 Light"/>
          <w:sz w:val="20"/>
          <w:szCs w:val="20"/>
          <w:lang w:eastAsia="en-GB"/>
        </w:rPr>
      </w:pPr>
      <w:r w:rsidRPr="003F1A86">
        <w:rPr>
          <w:rFonts w:cs="Calibri"/>
          <w:bCs/>
          <w:iCs/>
        </w:rPr>
        <w:t>Where it is not reasonably practicable to prevent exposure to a biological agent using the Hierarchy of Control measures then the following measures should also be applied:</w:t>
      </w:r>
    </w:p>
    <w:p w:rsidR="00AB21EA" w:rsidRPr="00882DF3" w:rsidRDefault="00AB21EA" w:rsidP="00AB21EA">
      <w:pPr>
        <w:autoSpaceDE w:val="0"/>
        <w:autoSpaceDN w:val="0"/>
        <w:adjustRightInd w:val="0"/>
        <w:rPr>
          <w:rFonts w:ascii="Helvetica 45 Light" w:hAnsi="Helvetica 45 Light" w:cs="Helvetica 45 Light"/>
          <w:color w:val="000000"/>
          <w:sz w:val="24"/>
          <w:szCs w:val="24"/>
          <w:lang w:eastAsia="en-GB"/>
        </w:rPr>
      </w:pP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 xml:space="preserve">Display suitable and sufficient warning signs, including the relevant biohazard signage </w:t>
      </w: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 xml:space="preserve">Specify appropriate decontamination and disinfection procedures </w:t>
      </w: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 xml:space="preserve">Institute means for the safe collection, storage and disposal of contaminated waste, including the use of secure and identifiable containers, after suitable treatment where appropriate </w:t>
      </w: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 xml:space="preserve">Test, where necessary and technically possible, for the presence, outside the primary physical confinement, of biological agents used at work </w:t>
      </w: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Specify procedures for working with, and transporting at the workplace, a biological agent or material that may contain such an agent</w:t>
      </w: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 xml:space="preserve">Make available, where appropriate, effective vaccines for those staff who are not already immune to the biological agent to which they are exposed or are liable to be exposed </w:t>
      </w:r>
    </w:p>
    <w:p w:rsidR="00AB21EA" w:rsidRPr="003F1A86" w:rsidRDefault="00AB21EA" w:rsidP="00AB21EA">
      <w:pPr>
        <w:numPr>
          <w:ilvl w:val="0"/>
          <w:numId w:val="1"/>
        </w:numPr>
        <w:tabs>
          <w:tab w:val="left" w:pos="993"/>
        </w:tabs>
        <w:autoSpaceDE w:val="0"/>
        <w:autoSpaceDN w:val="0"/>
        <w:adjustRightInd w:val="0"/>
        <w:spacing w:after="154"/>
        <w:ind w:left="993" w:hanging="426"/>
        <w:rPr>
          <w:rFonts w:cs="Helvetica 45 Light"/>
          <w:color w:val="000000"/>
          <w:lang w:eastAsia="en-GB"/>
        </w:rPr>
      </w:pPr>
      <w:r w:rsidRPr="003F1A86">
        <w:rPr>
          <w:rFonts w:cs="Helvetica 45 Light"/>
          <w:iCs/>
          <w:color w:val="000000"/>
          <w:lang w:eastAsia="en-GB"/>
        </w:rPr>
        <w:t xml:space="preserve">Institute hygiene measures compatible with the aim of preventing or reducing the accidental transfer or release of a biological agent from the workplace, including the provision of appropriate and adequate washing and toilet facilities and where appropriate, the prohibition of eating, drinking, smoking and the application of cosmetics in working areas where there is a risk of contamination by biological agents </w:t>
      </w:r>
    </w:p>
    <w:p w:rsidR="00AB21EA" w:rsidRPr="003F1A86" w:rsidRDefault="00AB21EA" w:rsidP="00AB21EA">
      <w:pPr>
        <w:tabs>
          <w:tab w:val="left" w:pos="993"/>
        </w:tabs>
        <w:autoSpaceDE w:val="0"/>
        <w:autoSpaceDN w:val="0"/>
        <w:adjustRightInd w:val="0"/>
        <w:ind w:left="993" w:hanging="426"/>
        <w:rPr>
          <w:rFonts w:cs="Helvetica 45 Light"/>
          <w:color w:val="000000"/>
          <w:lang w:eastAsia="en-GB"/>
        </w:rPr>
      </w:pPr>
    </w:p>
    <w:p w:rsidR="00AB21EA" w:rsidRPr="003F1A86" w:rsidRDefault="00AB21EA" w:rsidP="00AB21EA">
      <w:pPr>
        <w:numPr>
          <w:ilvl w:val="0"/>
          <w:numId w:val="1"/>
        </w:numPr>
        <w:tabs>
          <w:tab w:val="left" w:pos="993"/>
        </w:tabs>
        <w:autoSpaceDE w:val="0"/>
        <w:autoSpaceDN w:val="0"/>
        <w:adjustRightInd w:val="0"/>
        <w:ind w:left="993" w:hanging="426"/>
        <w:rPr>
          <w:rFonts w:cs="Helvetica 45 Light"/>
          <w:color w:val="000000"/>
          <w:lang w:eastAsia="en-GB"/>
        </w:rPr>
      </w:pPr>
      <w:r w:rsidRPr="003F1A86">
        <w:rPr>
          <w:rFonts w:cs="Helvetica 45 Light"/>
          <w:color w:val="000000"/>
          <w:lang w:eastAsia="en-GB"/>
        </w:rPr>
        <w:t xml:space="preserve">Select the most suitable control and containment measure from those listed in Part II of Schedule 3 to the COSHH Regulations where there are </w:t>
      </w:r>
      <w:r w:rsidRPr="003F1A86">
        <w:rPr>
          <w:rFonts w:cs="Helvetica 45 Light"/>
          <w:iCs/>
          <w:color w:val="000000"/>
          <w:lang w:eastAsia="en-GB"/>
        </w:rPr>
        <w:t xml:space="preserve">human patients or animals which are, or are suspected of being, infected with a Group 3 or 4 biological </w:t>
      </w:r>
      <w:proofErr w:type="gramStart"/>
      <w:r w:rsidRPr="003F1A86">
        <w:rPr>
          <w:rFonts w:cs="Helvetica 45 Light"/>
          <w:iCs/>
          <w:color w:val="000000"/>
          <w:lang w:eastAsia="en-GB"/>
        </w:rPr>
        <w:t>agent</w:t>
      </w:r>
      <w:proofErr w:type="gramEnd"/>
      <w:r>
        <w:rPr>
          <w:rFonts w:cs="Helvetica 45 Light"/>
          <w:iCs/>
          <w:color w:val="000000"/>
          <w:lang w:eastAsia="en-GB"/>
        </w:rPr>
        <w:t>.</w:t>
      </w:r>
      <w:r w:rsidRPr="003F1A86">
        <w:rPr>
          <w:rFonts w:cs="Helvetica 45 Light"/>
          <w:iCs/>
          <w:color w:val="000000"/>
          <w:lang w:eastAsia="en-GB"/>
        </w:rPr>
        <w:t xml:space="preserve"> </w:t>
      </w:r>
    </w:p>
    <w:p w:rsidR="00AB21EA" w:rsidRPr="00251937" w:rsidRDefault="00AB21EA" w:rsidP="00AB21EA">
      <w:pPr>
        <w:pStyle w:val="ListParagraph"/>
        <w:ind w:left="567" w:hanging="567"/>
        <w:rPr>
          <w:rFonts w:cs="Calibri"/>
          <w:b/>
          <w:sz w:val="24"/>
          <w:szCs w:val="24"/>
        </w:rPr>
      </w:pPr>
    </w:p>
    <w:p w:rsidR="00AB21EA" w:rsidRPr="00251937" w:rsidRDefault="00AB21EA" w:rsidP="00AB21EA">
      <w:pPr>
        <w:pStyle w:val="ListParagraph"/>
        <w:ind w:left="567" w:hanging="567"/>
        <w:jc w:val="right"/>
        <w:rPr>
          <w:rFonts w:cs="Calibri"/>
          <w:b/>
          <w:sz w:val="28"/>
          <w:szCs w:val="28"/>
        </w:rPr>
      </w:pPr>
    </w:p>
    <w:p w:rsidR="00AB21EA" w:rsidRDefault="00AB21EA" w:rsidP="00AB21EA">
      <w:pPr>
        <w:pStyle w:val="ListParagraph"/>
        <w:ind w:left="567" w:hanging="567"/>
        <w:rPr>
          <w:rFonts w:cs="Calibri"/>
          <w:b/>
        </w:rPr>
      </w:pPr>
    </w:p>
    <w:p w:rsidR="00AB21EA" w:rsidRPr="00251937" w:rsidRDefault="00AB21EA" w:rsidP="00AB21EA">
      <w:pPr>
        <w:pStyle w:val="ListParagraph"/>
        <w:ind w:left="567" w:hanging="567"/>
        <w:rPr>
          <w:rFonts w:cs="Calibri"/>
          <w:b/>
        </w:rPr>
      </w:pPr>
    </w:p>
    <w:p w:rsidR="00AB21EA" w:rsidRPr="00D77CEC" w:rsidRDefault="00AB21EA" w:rsidP="00AB21EA">
      <w:pPr>
        <w:ind w:left="567" w:hanging="567"/>
        <w:rPr>
          <w:rFonts w:cs="Calibri"/>
        </w:rPr>
      </w:pPr>
    </w:p>
    <w:p w:rsidR="00E64E31" w:rsidRDefault="00E64E31"/>
    <w:sectPr w:rsidR="00E64E31" w:rsidSect="005F00E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E9C">
      <w:r>
        <w:separator/>
      </w:r>
    </w:p>
  </w:endnote>
  <w:endnote w:type="continuationSeparator" w:id="0">
    <w:p w:rsidR="00000000" w:rsidRDefault="0036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1FD" w:rsidRDefault="00AB21EA" w:rsidP="00344FF8">
    <w:pPr>
      <w:pStyle w:val="Footer"/>
    </w:pPr>
    <w:r>
      <w:t xml:space="preserve">Control of Substances Hazardous to Health Procedure                                         </w:t>
    </w:r>
    <w:r>
      <w:fldChar w:fldCharType="begin"/>
    </w:r>
    <w:r>
      <w:instrText xml:space="preserve"> PAGE   \* MERGEFORMAT </w:instrText>
    </w:r>
    <w:r>
      <w:fldChar w:fldCharType="separate"/>
    </w:r>
    <w:r w:rsidR="00363E9C">
      <w:rPr>
        <w:noProof/>
      </w:rPr>
      <w:t>1</w:t>
    </w:r>
    <w:r>
      <w:fldChar w:fldCharType="end"/>
    </w:r>
  </w:p>
  <w:p w:rsidR="004501FD" w:rsidRPr="0071545B" w:rsidRDefault="00AB21EA" w:rsidP="0071545B">
    <w:pPr>
      <w:pStyle w:val="Footer"/>
      <w:rPr>
        <w:szCs w:val="32"/>
      </w:rPr>
    </w:pPr>
    <w:r>
      <w:rPr>
        <w:szCs w:val="32"/>
      </w:rPr>
      <w:t xml:space="preserve">Draft copy revised 07.03.16 </w:t>
    </w:r>
  </w:p>
  <w:p w:rsidR="004501FD" w:rsidRDefault="00363E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E9C">
      <w:r>
        <w:separator/>
      </w:r>
    </w:p>
  </w:footnote>
  <w:footnote w:type="continuationSeparator" w:id="0">
    <w:p w:rsidR="00000000" w:rsidRDefault="00363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054F"/>
    <w:multiLevelType w:val="hybridMultilevel"/>
    <w:tmpl w:val="C3BCA9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EA"/>
    <w:rsid w:val="00306F50"/>
    <w:rsid w:val="00363E9C"/>
    <w:rsid w:val="004406B1"/>
    <w:rsid w:val="00457CEC"/>
    <w:rsid w:val="00501A44"/>
    <w:rsid w:val="009557E9"/>
    <w:rsid w:val="009962EA"/>
    <w:rsid w:val="00AB21EA"/>
    <w:rsid w:val="00BB36CF"/>
    <w:rsid w:val="00C32409"/>
    <w:rsid w:val="00E64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EA"/>
    <w:pPr>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EA"/>
    <w:pPr>
      <w:ind w:left="720"/>
    </w:pPr>
  </w:style>
  <w:style w:type="paragraph" w:styleId="Footer">
    <w:name w:val="footer"/>
    <w:basedOn w:val="Normal"/>
    <w:link w:val="FooterChar"/>
    <w:unhideWhenUsed/>
    <w:rsid w:val="00AB21EA"/>
    <w:pPr>
      <w:tabs>
        <w:tab w:val="center" w:pos="4513"/>
        <w:tab w:val="right" w:pos="9026"/>
      </w:tabs>
    </w:pPr>
  </w:style>
  <w:style w:type="character" w:customStyle="1" w:styleId="FooterChar">
    <w:name w:val="Footer Char"/>
    <w:basedOn w:val="DefaultParagraphFont"/>
    <w:link w:val="Footer"/>
    <w:rsid w:val="00AB21EA"/>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EA"/>
    <w:pPr>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1EA"/>
    <w:pPr>
      <w:ind w:left="720"/>
    </w:pPr>
  </w:style>
  <w:style w:type="paragraph" w:styleId="Footer">
    <w:name w:val="footer"/>
    <w:basedOn w:val="Normal"/>
    <w:link w:val="FooterChar"/>
    <w:unhideWhenUsed/>
    <w:rsid w:val="00AB21EA"/>
    <w:pPr>
      <w:tabs>
        <w:tab w:val="center" w:pos="4513"/>
        <w:tab w:val="right" w:pos="9026"/>
      </w:tabs>
    </w:pPr>
  </w:style>
  <w:style w:type="character" w:customStyle="1" w:styleId="FooterChar">
    <w:name w:val="Footer Char"/>
    <w:basedOn w:val="DefaultParagraphFont"/>
    <w:link w:val="Footer"/>
    <w:rsid w:val="00AB21E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Kirsteen Bremner</dc:creator>
  <cp:lastModifiedBy>Setup</cp:lastModifiedBy>
  <cp:revision>2</cp:revision>
  <dcterms:created xsi:type="dcterms:W3CDTF">2016-04-19T12:53:00Z</dcterms:created>
  <dcterms:modified xsi:type="dcterms:W3CDTF">2016-04-19T12:53:00Z</dcterms:modified>
</cp:coreProperties>
</file>