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A5C" w:rsidRPr="00406FB0" w:rsidRDefault="00E10A5C" w:rsidP="00E10A5C">
      <w:pPr>
        <w:spacing w:after="0" w:line="276" w:lineRule="auto"/>
        <w:jc w:val="center"/>
        <w:rPr>
          <w:rFonts w:ascii="Calibri" w:eastAsia="Calibri" w:hAnsi="Calibri" w:cs="Times New Roman"/>
          <w:b/>
          <w:sz w:val="24"/>
          <w:szCs w:val="24"/>
        </w:rPr>
      </w:pPr>
      <w:r w:rsidRPr="00406FB0">
        <w:rPr>
          <w:rFonts w:ascii="Calibri" w:eastAsia="Calibri" w:hAnsi="Calibri" w:cs="Times New Roman"/>
          <w:b/>
          <w:sz w:val="24"/>
          <w:szCs w:val="24"/>
        </w:rPr>
        <w:t>Glasgow Caledonian University</w:t>
      </w:r>
    </w:p>
    <w:p w:rsidR="00E10A5C" w:rsidRPr="00406FB0" w:rsidRDefault="00E10A5C" w:rsidP="00E10A5C">
      <w:pPr>
        <w:spacing w:after="0" w:line="276" w:lineRule="auto"/>
        <w:jc w:val="center"/>
        <w:rPr>
          <w:rFonts w:ascii="Calibri" w:eastAsia="Calibri" w:hAnsi="Calibri" w:cs="Times New Roman"/>
          <w:b/>
          <w:sz w:val="24"/>
          <w:szCs w:val="24"/>
        </w:rPr>
      </w:pPr>
      <w:r w:rsidRPr="00406FB0">
        <w:rPr>
          <w:rFonts w:ascii="Calibri" w:eastAsia="Calibri" w:hAnsi="Calibri" w:cs="Times New Roman"/>
          <w:b/>
          <w:sz w:val="24"/>
          <w:szCs w:val="24"/>
        </w:rPr>
        <w:t>External Examiner Approval Panel</w:t>
      </w:r>
    </w:p>
    <w:p w:rsidR="00E10A5C" w:rsidRPr="00406FB0" w:rsidRDefault="00E10A5C" w:rsidP="00E10A5C">
      <w:pPr>
        <w:spacing w:after="0" w:line="276" w:lineRule="auto"/>
        <w:jc w:val="center"/>
        <w:rPr>
          <w:rFonts w:ascii="Calibri" w:eastAsia="Calibri" w:hAnsi="Calibri" w:cs="Times New Roman"/>
          <w:b/>
          <w:sz w:val="24"/>
          <w:szCs w:val="24"/>
        </w:rPr>
      </w:pPr>
      <w:r w:rsidRPr="00406FB0">
        <w:rPr>
          <w:rFonts w:ascii="Calibri" w:eastAsia="Calibri" w:hAnsi="Calibri" w:cs="Times New Roman"/>
          <w:b/>
          <w:sz w:val="24"/>
          <w:szCs w:val="24"/>
        </w:rPr>
        <w:t>Terms of Reference and Standard Operations</w:t>
      </w:r>
    </w:p>
    <w:p w:rsidR="00E10A5C" w:rsidRPr="00406FB0" w:rsidRDefault="00E10A5C" w:rsidP="00E10A5C">
      <w:pPr>
        <w:spacing w:after="0" w:line="276" w:lineRule="auto"/>
        <w:rPr>
          <w:rFonts w:ascii="Calibri" w:eastAsia="Calibri" w:hAnsi="Calibri" w:cs="Times New Roman"/>
          <w:b/>
          <w:sz w:val="24"/>
        </w:rPr>
      </w:pPr>
    </w:p>
    <w:p w:rsidR="00E10A5C" w:rsidRPr="00406FB0" w:rsidRDefault="00E10A5C" w:rsidP="00E10A5C">
      <w:pPr>
        <w:spacing w:after="0" w:line="240" w:lineRule="auto"/>
        <w:jc w:val="both"/>
        <w:rPr>
          <w:rFonts w:ascii="Calibri" w:eastAsia="Calibri" w:hAnsi="Calibri" w:cs="Times New Roman"/>
          <w:b/>
        </w:rPr>
      </w:pPr>
      <w:r w:rsidRPr="00406FB0">
        <w:rPr>
          <w:rFonts w:ascii="Calibri" w:eastAsia="Calibri" w:hAnsi="Calibri" w:cs="Times New Roman"/>
          <w:b/>
        </w:rPr>
        <w:t xml:space="preserve">1.0 </w:t>
      </w:r>
      <w:r w:rsidRPr="00406FB0">
        <w:rPr>
          <w:rFonts w:ascii="Calibri" w:eastAsia="Calibri" w:hAnsi="Calibri" w:cs="Times New Roman"/>
          <w:b/>
        </w:rPr>
        <w:tab/>
        <w:t>Introduction</w:t>
      </w:r>
    </w:p>
    <w:p w:rsidR="00E10A5C" w:rsidRPr="00406FB0" w:rsidRDefault="00E10A5C" w:rsidP="00E10A5C">
      <w:pPr>
        <w:spacing w:after="0" w:line="240" w:lineRule="auto"/>
        <w:jc w:val="both"/>
        <w:rPr>
          <w:rFonts w:ascii="Calibri" w:eastAsia="Calibri" w:hAnsi="Calibri" w:cs="Times New Roman"/>
          <w:b/>
          <w:sz w:val="18"/>
        </w:rPr>
      </w:pPr>
    </w:p>
    <w:p w:rsidR="00E10A5C" w:rsidRPr="00406FB0" w:rsidRDefault="00E10A5C" w:rsidP="00E10A5C">
      <w:pPr>
        <w:numPr>
          <w:ilvl w:val="1"/>
          <w:numId w:val="4"/>
        </w:numPr>
        <w:spacing w:after="0" w:line="240" w:lineRule="auto"/>
        <w:contextualSpacing/>
        <w:jc w:val="both"/>
        <w:rPr>
          <w:rFonts w:ascii="Calibri" w:eastAsia="Calibri" w:hAnsi="Calibri" w:cs="Times New Roman"/>
        </w:rPr>
      </w:pPr>
      <w:r w:rsidRPr="00406FB0">
        <w:rPr>
          <w:rFonts w:ascii="Calibri" w:eastAsia="Calibri" w:hAnsi="Calibri" w:cs="Times New Roman"/>
        </w:rPr>
        <w:t xml:space="preserve">The Terms of Reference, Membership and Standard Operations for the GCU External Examiners Approval Panel, on behalf of Senate. </w:t>
      </w:r>
    </w:p>
    <w:p w:rsidR="00E10A5C" w:rsidRPr="00406FB0" w:rsidRDefault="00E10A5C" w:rsidP="00E10A5C">
      <w:pPr>
        <w:spacing w:after="0" w:line="240" w:lineRule="auto"/>
        <w:jc w:val="both"/>
        <w:rPr>
          <w:rFonts w:ascii="Calibri" w:eastAsia="Calibri" w:hAnsi="Calibri" w:cs="Times New Roman"/>
          <w:b/>
        </w:rPr>
      </w:pPr>
    </w:p>
    <w:p w:rsidR="00E10A5C" w:rsidRPr="00406FB0" w:rsidRDefault="00E10A5C" w:rsidP="00E10A5C">
      <w:pPr>
        <w:spacing w:after="0" w:line="240" w:lineRule="auto"/>
        <w:jc w:val="both"/>
        <w:rPr>
          <w:rFonts w:ascii="Calibri" w:eastAsia="Calibri" w:hAnsi="Calibri" w:cs="Times New Roman"/>
          <w:b/>
        </w:rPr>
      </w:pPr>
      <w:r w:rsidRPr="00406FB0">
        <w:rPr>
          <w:rFonts w:ascii="Calibri" w:eastAsia="Calibri" w:hAnsi="Calibri" w:cs="Times New Roman"/>
          <w:b/>
        </w:rPr>
        <w:t>2.0</w:t>
      </w:r>
      <w:r w:rsidRPr="00406FB0">
        <w:rPr>
          <w:rFonts w:ascii="Calibri" w:eastAsia="Calibri" w:hAnsi="Calibri" w:cs="Times New Roman"/>
          <w:b/>
        </w:rPr>
        <w:tab/>
        <w:t>Terms of Reference</w:t>
      </w:r>
    </w:p>
    <w:p w:rsidR="00E10A5C" w:rsidRPr="00406FB0" w:rsidRDefault="00E10A5C" w:rsidP="00E10A5C">
      <w:pPr>
        <w:spacing w:after="0" w:line="240" w:lineRule="auto"/>
        <w:jc w:val="both"/>
        <w:rPr>
          <w:rFonts w:ascii="Calibri" w:eastAsia="Calibri" w:hAnsi="Calibri" w:cs="Times New Roman"/>
          <w:b/>
          <w:sz w:val="18"/>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To consider nominations for the appointment of an external examiner within the University in accordance with the Academic Quality Policy and Practice.</w:t>
      </w:r>
    </w:p>
    <w:p w:rsidR="00E10A5C" w:rsidRPr="00406FB0" w:rsidRDefault="00E10A5C" w:rsidP="00E10A5C">
      <w:pPr>
        <w:spacing w:after="0" w:line="240" w:lineRule="auto"/>
        <w:ind w:left="709"/>
        <w:contextualSpacing/>
        <w:jc w:val="both"/>
        <w:rPr>
          <w:rFonts w:ascii="Calibri" w:eastAsia="Calibri" w:hAnsi="Calibri" w:cs="Times New Roman"/>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To consider nominations for the extension of the period of tenure of an existing external examiner within the University, in accordance with the Academic Quality Policy and Practice.</w:t>
      </w:r>
    </w:p>
    <w:p w:rsidR="00E10A5C" w:rsidRPr="00406FB0" w:rsidRDefault="00E10A5C" w:rsidP="00E10A5C">
      <w:pPr>
        <w:spacing w:after="0" w:line="240" w:lineRule="auto"/>
        <w:ind w:left="709"/>
        <w:contextualSpacing/>
        <w:jc w:val="both"/>
        <w:rPr>
          <w:rFonts w:ascii="Calibri" w:eastAsia="Calibri" w:hAnsi="Calibri" w:cs="Times New Roman"/>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To consider nominations for the change of duties of an existing external examiner within the University, in accordance with Academic Quality Policy and Practice.</w:t>
      </w:r>
    </w:p>
    <w:p w:rsidR="00E10A5C" w:rsidRPr="00406FB0" w:rsidRDefault="00E10A5C" w:rsidP="00E10A5C">
      <w:pPr>
        <w:spacing w:after="200" w:line="276" w:lineRule="auto"/>
        <w:ind w:left="720"/>
        <w:contextualSpacing/>
        <w:rPr>
          <w:rFonts w:ascii="Calibri" w:eastAsia="Calibri" w:hAnsi="Calibri" w:cs="Times New Roman"/>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 xml:space="preserve">To receive notification of any early termination and resignations of tenure. </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To provide the Learning and Teaching Sub Committee with an annual confirmation of all approved nominations, extensions to period of tenure, change of duties and any resignations or terminations of appointment.</w:t>
      </w:r>
    </w:p>
    <w:p w:rsidR="00E10A5C" w:rsidRPr="00406FB0" w:rsidRDefault="00E10A5C" w:rsidP="00E10A5C">
      <w:pPr>
        <w:spacing w:after="0" w:line="240" w:lineRule="auto"/>
        <w:ind w:left="709"/>
        <w:contextualSpacing/>
        <w:jc w:val="both"/>
        <w:rPr>
          <w:rFonts w:ascii="Calibri" w:eastAsia="Calibri" w:hAnsi="Calibri" w:cs="Times New Roman"/>
        </w:rPr>
      </w:pPr>
    </w:p>
    <w:p w:rsidR="00E10A5C" w:rsidRPr="00406FB0" w:rsidRDefault="00E10A5C" w:rsidP="00E10A5C">
      <w:pPr>
        <w:numPr>
          <w:ilvl w:val="1"/>
          <w:numId w:val="5"/>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To advise the Learning and Teaching Sub Committee of issues arising from the consideration of external examiner nominations for appropriate action as required</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numPr>
          <w:ilvl w:val="0"/>
          <w:numId w:val="9"/>
        </w:numPr>
        <w:spacing w:after="0" w:line="240" w:lineRule="auto"/>
        <w:contextualSpacing/>
        <w:jc w:val="both"/>
        <w:rPr>
          <w:rFonts w:ascii="Calibri" w:eastAsia="Calibri" w:hAnsi="Calibri" w:cs="Times New Roman"/>
          <w:b/>
        </w:rPr>
      </w:pPr>
      <w:r w:rsidRPr="00406FB0">
        <w:rPr>
          <w:rFonts w:ascii="Calibri" w:eastAsia="Calibri" w:hAnsi="Calibri" w:cs="Times New Roman"/>
          <w:b/>
        </w:rPr>
        <w:t>Quorum</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numPr>
          <w:ilvl w:val="1"/>
          <w:numId w:val="9"/>
        </w:numPr>
        <w:spacing w:after="0" w:line="240" w:lineRule="auto"/>
        <w:ind w:left="709" w:hanging="709"/>
        <w:contextualSpacing/>
        <w:jc w:val="both"/>
        <w:rPr>
          <w:rFonts w:ascii="Calibri" w:eastAsia="Calibri" w:hAnsi="Calibri" w:cs="Times New Roman"/>
        </w:rPr>
      </w:pPr>
      <w:r w:rsidRPr="00406FB0">
        <w:rPr>
          <w:rFonts w:ascii="Calibri" w:eastAsia="Calibri" w:hAnsi="Calibri" w:cs="Times New Roman"/>
        </w:rPr>
        <w:t>The Chair plus two other members will constitute a quorum.  To avoid conflict of interest, approval of the suitability of candidates will require the support of the Chair plus two Panel members, independent from the proposing School.</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spacing w:after="0" w:line="240" w:lineRule="auto"/>
        <w:jc w:val="both"/>
        <w:rPr>
          <w:rFonts w:ascii="Calibri" w:eastAsia="Calibri" w:hAnsi="Calibri" w:cs="Times New Roman"/>
          <w:b/>
        </w:rPr>
      </w:pPr>
      <w:r w:rsidRPr="00406FB0">
        <w:rPr>
          <w:rFonts w:ascii="Calibri" w:eastAsia="Calibri" w:hAnsi="Calibri" w:cs="Times New Roman"/>
          <w:b/>
        </w:rPr>
        <w:t>4.0</w:t>
      </w:r>
      <w:r w:rsidRPr="00406FB0">
        <w:rPr>
          <w:rFonts w:ascii="Calibri" w:eastAsia="Calibri" w:hAnsi="Calibri" w:cs="Times New Roman"/>
          <w:b/>
        </w:rPr>
        <w:tab/>
        <w:t>Membership</w:t>
      </w:r>
    </w:p>
    <w:p w:rsidR="00E10A5C" w:rsidRPr="00406FB0" w:rsidRDefault="00E10A5C" w:rsidP="00E10A5C">
      <w:pPr>
        <w:spacing w:after="0" w:line="240" w:lineRule="auto"/>
        <w:jc w:val="both"/>
        <w:rPr>
          <w:rFonts w:ascii="Calibri" w:eastAsia="Calibri" w:hAnsi="Calibri" w:cs="Times New Roman"/>
          <w:b/>
          <w:sz w:val="18"/>
        </w:rPr>
      </w:pPr>
    </w:p>
    <w:p w:rsidR="00E10A5C" w:rsidRPr="00406FB0" w:rsidRDefault="00E10A5C" w:rsidP="00E10A5C">
      <w:pPr>
        <w:tabs>
          <w:tab w:val="left" w:pos="709"/>
        </w:tabs>
        <w:spacing w:after="0" w:line="240" w:lineRule="auto"/>
        <w:ind w:left="709" w:hanging="709"/>
        <w:jc w:val="both"/>
        <w:rPr>
          <w:rFonts w:ascii="Calibri" w:eastAsia="Calibri" w:hAnsi="Calibri" w:cs="Times New Roman"/>
        </w:rPr>
      </w:pPr>
      <w:r w:rsidRPr="00406FB0">
        <w:rPr>
          <w:rFonts w:ascii="Calibri" w:eastAsia="Calibri" w:hAnsi="Calibri" w:cs="Times New Roman"/>
        </w:rPr>
        <w:t>4.1</w:t>
      </w:r>
      <w:r w:rsidRPr="00406FB0">
        <w:rPr>
          <w:rFonts w:ascii="Calibri" w:eastAsia="Calibri" w:hAnsi="Calibri" w:cs="Times New Roman"/>
        </w:rPr>
        <w:tab/>
        <w:t xml:space="preserve">The Panel will consist of one representative from each School and will be </w:t>
      </w:r>
      <w:proofErr w:type="gramStart"/>
      <w:r w:rsidRPr="00406FB0">
        <w:rPr>
          <w:rFonts w:ascii="Calibri" w:eastAsia="Calibri" w:hAnsi="Calibri" w:cs="Times New Roman"/>
        </w:rPr>
        <w:t>Chaired</w:t>
      </w:r>
      <w:proofErr w:type="gramEnd"/>
      <w:r w:rsidRPr="00406FB0">
        <w:rPr>
          <w:rFonts w:ascii="Calibri" w:eastAsia="Calibri" w:hAnsi="Calibri" w:cs="Times New Roman"/>
        </w:rPr>
        <w:t xml:space="preserve"> by the Head of Academic Quality.  </w:t>
      </w:r>
    </w:p>
    <w:p w:rsidR="00E10A5C" w:rsidRPr="00406FB0" w:rsidRDefault="00E10A5C" w:rsidP="00E10A5C">
      <w:pPr>
        <w:tabs>
          <w:tab w:val="left" w:pos="709"/>
        </w:tabs>
        <w:spacing w:after="0" w:line="240" w:lineRule="auto"/>
        <w:ind w:left="709" w:hanging="709"/>
        <w:jc w:val="both"/>
        <w:rPr>
          <w:rFonts w:ascii="Calibri" w:eastAsia="Calibri" w:hAnsi="Calibri" w:cs="Times New Roman"/>
        </w:rPr>
      </w:pPr>
    </w:p>
    <w:p w:rsidR="00E10A5C" w:rsidRPr="00406FB0" w:rsidRDefault="00E10A5C" w:rsidP="00E10A5C">
      <w:pPr>
        <w:tabs>
          <w:tab w:val="left" w:pos="709"/>
        </w:tabs>
        <w:spacing w:after="0" w:line="240" w:lineRule="auto"/>
        <w:ind w:left="709" w:hanging="709"/>
        <w:jc w:val="both"/>
        <w:rPr>
          <w:rFonts w:ascii="Calibri" w:eastAsia="Calibri" w:hAnsi="Calibri" w:cs="Times New Roman"/>
        </w:rPr>
      </w:pPr>
      <w:r w:rsidRPr="00406FB0">
        <w:rPr>
          <w:rFonts w:ascii="Calibri" w:eastAsia="Calibri" w:hAnsi="Calibri" w:cs="Times New Roman"/>
        </w:rPr>
        <w:t>4.2</w:t>
      </w:r>
      <w:r w:rsidRPr="00406FB0">
        <w:rPr>
          <w:rFonts w:ascii="Calibri" w:eastAsia="Calibri" w:hAnsi="Calibri" w:cs="Times New Roman"/>
        </w:rPr>
        <w:tab/>
        <w:t>Normally representation will be provided by the Assistant Head of Department: Learning Teaching and Quality, or their representative</w:t>
      </w:r>
      <w:r>
        <w:rPr>
          <w:rFonts w:ascii="Calibri" w:eastAsia="Calibri" w:hAnsi="Calibri" w:cs="Times New Roman"/>
        </w:rPr>
        <w:t>,</w:t>
      </w:r>
      <w:r w:rsidRPr="00406FB0">
        <w:rPr>
          <w:rFonts w:ascii="Calibri" w:eastAsia="Calibri" w:hAnsi="Calibri" w:cs="Times New Roman"/>
        </w:rPr>
        <w:t xml:space="preserve"> and will be reviewed annually. </w:t>
      </w:r>
    </w:p>
    <w:p w:rsidR="00E10A5C" w:rsidRPr="00406FB0" w:rsidRDefault="00E10A5C" w:rsidP="00E10A5C">
      <w:pPr>
        <w:spacing w:after="0" w:line="240" w:lineRule="auto"/>
        <w:jc w:val="both"/>
        <w:rPr>
          <w:rFonts w:ascii="Calibri" w:eastAsia="Calibri" w:hAnsi="Calibri" w:cs="Times New Roman"/>
          <w:b/>
        </w:rPr>
      </w:pPr>
    </w:p>
    <w:p w:rsidR="00E10A5C" w:rsidRPr="00406FB0" w:rsidRDefault="00E10A5C" w:rsidP="00E10A5C">
      <w:pPr>
        <w:spacing w:after="0" w:line="240" w:lineRule="auto"/>
        <w:jc w:val="both"/>
        <w:rPr>
          <w:rFonts w:ascii="Calibri" w:eastAsia="Calibri" w:hAnsi="Calibri" w:cs="Times New Roman"/>
          <w:b/>
        </w:rPr>
      </w:pPr>
      <w:r w:rsidRPr="00406FB0">
        <w:rPr>
          <w:rFonts w:ascii="Calibri" w:eastAsia="Calibri" w:hAnsi="Calibri" w:cs="Times New Roman"/>
          <w:b/>
        </w:rPr>
        <w:t>5.0</w:t>
      </w:r>
      <w:r w:rsidRPr="00406FB0">
        <w:rPr>
          <w:rFonts w:ascii="Calibri" w:eastAsia="Calibri" w:hAnsi="Calibri" w:cs="Times New Roman"/>
          <w:b/>
        </w:rPr>
        <w:tab/>
        <w:t>Schedule of Meetings</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spacing w:after="0" w:line="240" w:lineRule="auto"/>
        <w:ind w:left="709" w:hanging="709"/>
        <w:jc w:val="both"/>
        <w:rPr>
          <w:rFonts w:ascii="Calibri" w:eastAsia="Calibri" w:hAnsi="Calibri" w:cs="Times New Roman"/>
        </w:rPr>
      </w:pPr>
      <w:r w:rsidRPr="00406FB0">
        <w:rPr>
          <w:rFonts w:ascii="Calibri" w:eastAsia="Calibri" w:hAnsi="Calibri" w:cs="Times New Roman"/>
        </w:rPr>
        <w:t>5.1</w:t>
      </w:r>
      <w:r w:rsidRPr="00406FB0">
        <w:rPr>
          <w:rFonts w:ascii="Calibri" w:eastAsia="Calibri" w:hAnsi="Calibri" w:cs="Times New Roman"/>
        </w:rPr>
        <w:tab/>
        <w:t xml:space="preserve">In each academic year, the Panel will meet once per Trimester. </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spacing w:after="0" w:line="240" w:lineRule="auto"/>
        <w:ind w:left="720" w:hanging="720"/>
        <w:jc w:val="both"/>
        <w:rPr>
          <w:rFonts w:ascii="Calibri" w:eastAsia="Calibri" w:hAnsi="Calibri" w:cs="Times New Roman"/>
        </w:rPr>
      </w:pPr>
      <w:r w:rsidRPr="00406FB0">
        <w:rPr>
          <w:rFonts w:ascii="Calibri" w:eastAsia="Calibri" w:hAnsi="Calibri" w:cs="Times New Roman"/>
        </w:rPr>
        <w:t>5.2</w:t>
      </w:r>
      <w:r w:rsidRPr="00406FB0">
        <w:rPr>
          <w:rFonts w:ascii="Calibri" w:eastAsia="Calibri" w:hAnsi="Calibri" w:cs="Times New Roman"/>
        </w:rPr>
        <w:tab/>
        <w:t>An additional meeting may also be scheduled immediately before the start of the new academic year in order to facilitate the consideration of outstanding applications where the urgent commencement of appointment is required for the forthcoming session.  This will be confirmed at the Trimester C meeting each year.</w:t>
      </w:r>
    </w:p>
    <w:p w:rsidR="00E10A5C" w:rsidRPr="00406FB0" w:rsidRDefault="00E10A5C" w:rsidP="00E10A5C">
      <w:pPr>
        <w:spacing w:after="0" w:line="240" w:lineRule="auto"/>
        <w:jc w:val="both"/>
        <w:rPr>
          <w:rFonts w:ascii="Calibri" w:eastAsia="Calibri" w:hAnsi="Calibri" w:cs="Times New Roman"/>
        </w:rPr>
      </w:pPr>
    </w:p>
    <w:p w:rsidR="00E10A5C" w:rsidRPr="00406FB0" w:rsidRDefault="00E10A5C" w:rsidP="00E10A5C">
      <w:pPr>
        <w:spacing w:after="0" w:line="240" w:lineRule="auto"/>
        <w:rPr>
          <w:rFonts w:ascii="Calibri" w:eastAsia="Calibri" w:hAnsi="Calibri" w:cs="Times New Roman"/>
          <w:b/>
        </w:rPr>
      </w:pPr>
      <w:r w:rsidRPr="00406FB0">
        <w:rPr>
          <w:rFonts w:ascii="Calibri" w:eastAsia="Calibri" w:hAnsi="Calibri" w:cs="Times New Roman"/>
          <w:b/>
        </w:rPr>
        <w:t>6.0</w:t>
      </w:r>
      <w:r w:rsidRPr="00406FB0">
        <w:rPr>
          <w:rFonts w:ascii="Calibri" w:eastAsia="Calibri" w:hAnsi="Calibri" w:cs="Times New Roman"/>
          <w:b/>
        </w:rPr>
        <w:tab/>
        <w:t>Timescales and Deadlines for the External Examiner Approval Process</w:t>
      </w:r>
    </w:p>
    <w:p w:rsidR="00E10A5C" w:rsidRPr="00406FB0" w:rsidRDefault="00E10A5C" w:rsidP="00E10A5C">
      <w:pPr>
        <w:spacing w:after="0" w:line="240" w:lineRule="auto"/>
        <w:rPr>
          <w:rFonts w:ascii="Calibri" w:eastAsia="Calibri" w:hAnsi="Calibri" w:cs="Times New Roman"/>
        </w:rPr>
      </w:pPr>
    </w:p>
    <w:p w:rsidR="00E10A5C" w:rsidRPr="00E10A5C" w:rsidRDefault="00E10A5C" w:rsidP="00E10A5C">
      <w:pPr>
        <w:spacing w:after="0" w:line="240" w:lineRule="auto"/>
        <w:ind w:left="720" w:hanging="720"/>
        <w:jc w:val="both"/>
        <w:rPr>
          <w:rFonts w:ascii="Calibri" w:eastAsia="Calibri" w:hAnsi="Calibri" w:cs="Times New Roman"/>
        </w:rPr>
      </w:pPr>
      <w:r w:rsidRPr="00406FB0">
        <w:rPr>
          <w:rFonts w:ascii="Calibri" w:eastAsia="Calibri" w:hAnsi="Calibri" w:cs="Times New Roman"/>
        </w:rPr>
        <w:t>6.1</w:t>
      </w:r>
      <w:r w:rsidRPr="00406FB0">
        <w:rPr>
          <w:rFonts w:ascii="Calibri" w:eastAsia="Calibri" w:hAnsi="Calibri" w:cs="Times New Roman"/>
        </w:rPr>
        <w:tab/>
        <w:t>The table of timescales and deadlines for each Panel Meeting will be distributed to relevant Schools, Departments and Panel Members at regular intervals throughout the y</w:t>
      </w:r>
      <w:r>
        <w:rPr>
          <w:rFonts w:ascii="Calibri" w:eastAsia="Calibri" w:hAnsi="Calibri" w:cs="Times New Roman"/>
        </w:rPr>
        <w:t xml:space="preserve">ear.  </w:t>
      </w:r>
      <w:bookmarkStart w:id="0" w:name="_GoBack"/>
      <w:bookmarkEnd w:id="0"/>
    </w:p>
    <w:sectPr w:rsidR="00E10A5C" w:rsidRPr="00E10A5C" w:rsidSect="00A06D7A">
      <w:headerReference w:type="default" r:id="rId8"/>
      <w:pgSz w:w="11906" w:h="16838" w:code="9"/>
      <w:pgMar w:top="70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8F" w:rsidRDefault="008C5E8F" w:rsidP="008C5E8F">
      <w:pPr>
        <w:spacing w:after="0" w:line="240" w:lineRule="auto"/>
      </w:pPr>
      <w:r>
        <w:separator/>
      </w:r>
    </w:p>
  </w:endnote>
  <w:endnote w:type="continuationSeparator" w:id="0">
    <w:p w:rsidR="008C5E8F" w:rsidRDefault="008C5E8F" w:rsidP="008C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8F" w:rsidRDefault="008C5E8F" w:rsidP="008C5E8F">
      <w:pPr>
        <w:spacing w:after="0" w:line="240" w:lineRule="auto"/>
      </w:pPr>
      <w:r>
        <w:separator/>
      </w:r>
    </w:p>
  </w:footnote>
  <w:footnote w:type="continuationSeparator" w:id="0">
    <w:p w:rsidR="008C5E8F" w:rsidRDefault="008C5E8F" w:rsidP="008C5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8F" w:rsidRPr="00A06D7A" w:rsidRDefault="008C5E8F">
    <w:pPr>
      <w:pStyle w:val="Head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1DC4"/>
    <w:multiLevelType w:val="multilevel"/>
    <w:tmpl w:val="587278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662553"/>
    <w:multiLevelType w:val="multilevel"/>
    <w:tmpl w:val="10C6E7C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40873284"/>
    <w:multiLevelType w:val="multilevel"/>
    <w:tmpl w:val="40E89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9A62B80"/>
    <w:multiLevelType w:val="hybridMultilevel"/>
    <w:tmpl w:val="05E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355859"/>
    <w:multiLevelType w:val="hybridMultilevel"/>
    <w:tmpl w:val="27DCA0F0"/>
    <w:lvl w:ilvl="0" w:tplc="33AEF672">
      <w:numFmt w:val="bullet"/>
      <w:lvlText w:val="-"/>
      <w:lvlJc w:val="left"/>
      <w:pPr>
        <w:ind w:left="1069" w:hanging="360"/>
      </w:pPr>
      <w:rPr>
        <w:rFonts w:ascii="Calibri" w:eastAsiaTheme="minorHAnsi" w:hAnsi="Calibri" w:cstheme="minorBid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5AC86209"/>
    <w:multiLevelType w:val="multilevel"/>
    <w:tmpl w:val="BE8CB7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7EF07C3"/>
    <w:multiLevelType w:val="hybridMultilevel"/>
    <w:tmpl w:val="D76040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6F073903"/>
    <w:multiLevelType w:val="multilevel"/>
    <w:tmpl w:val="B7BC5F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77A42343"/>
    <w:multiLevelType w:val="hybridMultilevel"/>
    <w:tmpl w:val="9FE6E156"/>
    <w:lvl w:ilvl="0" w:tplc="486CA44C">
      <w:start w:val="1"/>
      <w:numFmt w:val="decimal"/>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0"/>
  </w:num>
  <w:num w:numId="5">
    <w:abstractNumId w:val="2"/>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39"/>
    <w:rsid w:val="0000341A"/>
    <w:rsid w:val="00011096"/>
    <w:rsid w:val="0002199F"/>
    <w:rsid w:val="00034CC5"/>
    <w:rsid w:val="00057001"/>
    <w:rsid w:val="0006408B"/>
    <w:rsid w:val="000763AC"/>
    <w:rsid w:val="000A61AB"/>
    <w:rsid w:val="000C3017"/>
    <w:rsid w:val="000E34F2"/>
    <w:rsid w:val="001329D1"/>
    <w:rsid w:val="00146A96"/>
    <w:rsid w:val="00175CC1"/>
    <w:rsid w:val="00184C44"/>
    <w:rsid w:val="001C6FEE"/>
    <w:rsid w:val="002309A5"/>
    <w:rsid w:val="00267A10"/>
    <w:rsid w:val="002972ED"/>
    <w:rsid w:val="002A4F16"/>
    <w:rsid w:val="002A748B"/>
    <w:rsid w:val="002A7864"/>
    <w:rsid w:val="003077E2"/>
    <w:rsid w:val="003608C4"/>
    <w:rsid w:val="003646D1"/>
    <w:rsid w:val="00372A6B"/>
    <w:rsid w:val="003A302E"/>
    <w:rsid w:val="003C3FDF"/>
    <w:rsid w:val="003E491A"/>
    <w:rsid w:val="003E66F0"/>
    <w:rsid w:val="003F4202"/>
    <w:rsid w:val="003F48F8"/>
    <w:rsid w:val="00406C6F"/>
    <w:rsid w:val="00426DE4"/>
    <w:rsid w:val="00470915"/>
    <w:rsid w:val="004711B1"/>
    <w:rsid w:val="00477B65"/>
    <w:rsid w:val="00482EFE"/>
    <w:rsid w:val="00492320"/>
    <w:rsid w:val="0049715E"/>
    <w:rsid w:val="004C6162"/>
    <w:rsid w:val="004E5480"/>
    <w:rsid w:val="0054343F"/>
    <w:rsid w:val="005733E6"/>
    <w:rsid w:val="00582B1C"/>
    <w:rsid w:val="005B4139"/>
    <w:rsid w:val="006040AE"/>
    <w:rsid w:val="00615AAF"/>
    <w:rsid w:val="00636922"/>
    <w:rsid w:val="006565A4"/>
    <w:rsid w:val="006706BA"/>
    <w:rsid w:val="00672B9E"/>
    <w:rsid w:val="00692104"/>
    <w:rsid w:val="006D1DA6"/>
    <w:rsid w:val="006D5764"/>
    <w:rsid w:val="006E0451"/>
    <w:rsid w:val="00700352"/>
    <w:rsid w:val="007003FA"/>
    <w:rsid w:val="0072203C"/>
    <w:rsid w:val="007241D1"/>
    <w:rsid w:val="00741C55"/>
    <w:rsid w:val="00775546"/>
    <w:rsid w:val="007D07D5"/>
    <w:rsid w:val="00802C6E"/>
    <w:rsid w:val="00813F7F"/>
    <w:rsid w:val="00824CDF"/>
    <w:rsid w:val="00830D2D"/>
    <w:rsid w:val="008414C9"/>
    <w:rsid w:val="00854B47"/>
    <w:rsid w:val="008A4776"/>
    <w:rsid w:val="008C5E8F"/>
    <w:rsid w:val="008D1097"/>
    <w:rsid w:val="008E48E8"/>
    <w:rsid w:val="009258B8"/>
    <w:rsid w:val="00947394"/>
    <w:rsid w:val="0095721E"/>
    <w:rsid w:val="00977ABD"/>
    <w:rsid w:val="00995D7C"/>
    <w:rsid w:val="009A44A3"/>
    <w:rsid w:val="009F5170"/>
    <w:rsid w:val="009F62CD"/>
    <w:rsid w:val="00A06D7A"/>
    <w:rsid w:val="00A242C8"/>
    <w:rsid w:val="00A27F7E"/>
    <w:rsid w:val="00A619B0"/>
    <w:rsid w:val="00A72F90"/>
    <w:rsid w:val="00A82AF8"/>
    <w:rsid w:val="00AA7F37"/>
    <w:rsid w:val="00AF3BCA"/>
    <w:rsid w:val="00B45891"/>
    <w:rsid w:val="00B50CED"/>
    <w:rsid w:val="00B51A7A"/>
    <w:rsid w:val="00B65E95"/>
    <w:rsid w:val="00C01154"/>
    <w:rsid w:val="00C04582"/>
    <w:rsid w:val="00C13348"/>
    <w:rsid w:val="00C63753"/>
    <w:rsid w:val="00C71C17"/>
    <w:rsid w:val="00CB1BE4"/>
    <w:rsid w:val="00CB4FC9"/>
    <w:rsid w:val="00CD53C9"/>
    <w:rsid w:val="00D27BB0"/>
    <w:rsid w:val="00D32E95"/>
    <w:rsid w:val="00D3492D"/>
    <w:rsid w:val="00D5328C"/>
    <w:rsid w:val="00D90F90"/>
    <w:rsid w:val="00D95840"/>
    <w:rsid w:val="00DD330E"/>
    <w:rsid w:val="00DF6E4D"/>
    <w:rsid w:val="00E07B0B"/>
    <w:rsid w:val="00E10A5C"/>
    <w:rsid w:val="00E30F35"/>
    <w:rsid w:val="00E415AA"/>
    <w:rsid w:val="00E41A19"/>
    <w:rsid w:val="00E82AFC"/>
    <w:rsid w:val="00E853E8"/>
    <w:rsid w:val="00ED22A5"/>
    <w:rsid w:val="00F43303"/>
    <w:rsid w:val="00F67066"/>
    <w:rsid w:val="00F9429F"/>
    <w:rsid w:val="00F946D4"/>
    <w:rsid w:val="00FB649F"/>
    <w:rsid w:val="00FE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03"/>
    <w:pPr>
      <w:ind w:left="720"/>
      <w:contextualSpacing/>
    </w:pPr>
  </w:style>
  <w:style w:type="paragraph" w:styleId="BalloonText">
    <w:name w:val="Balloon Text"/>
    <w:basedOn w:val="Normal"/>
    <w:link w:val="BalloonTextChar"/>
    <w:uiPriority w:val="99"/>
    <w:semiHidden/>
    <w:unhideWhenUsed/>
    <w:rsid w:val="00C0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54"/>
    <w:rPr>
      <w:rFonts w:ascii="Tahoma" w:hAnsi="Tahoma" w:cs="Tahoma"/>
      <w:sz w:val="16"/>
      <w:szCs w:val="16"/>
    </w:rPr>
  </w:style>
  <w:style w:type="table" w:styleId="TableGrid">
    <w:name w:val="Table Grid"/>
    <w:basedOn w:val="TableNormal"/>
    <w:uiPriority w:val="59"/>
    <w:rsid w:val="0018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8F"/>
  </w:style>
  <w:style w:type="paragraph" w:styleId="Footer">
    <w:name w:val="footer"/>
    <w:basedOn w:val="Normal"/>
    <w:link w:val="FooterChar"/>
    <w:uiPriority w:val="99"/>
    <w:unhideWhenUsed/>
    <w:rsid w:val="008C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A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03"/>
    <w:pPr>
      <w:ind w:left="720"/>
      <w:contextualSpacing/>
    </w:pPr>
  </w:style>
  <w:style w:type="paragraph" w:styleId="BalloonText">
    <w:name w:val="Balloon Text"/>
    <w:basedOn w:val="Normal"/>
    <w:link w:val="BalloonTextChar"/>
    <w:uiPriority w:val="99"/>
    <w:semiHidden/>
    <w:unhideWhenUsed/>
    <w:rsid w:val="00C01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154"/>
    <w:rPr>
      <w:rFonts w:ascii="Tahoma" w:hAnsi="Tahoma" w:cs="Tahoma"/>
      <w:sz w:val="16"/>
      <w:szCs w:val="16"/>
    </w:rPr>
  </w:style>
  <w:style w:type="table" w:styleId="TableGrid">
    <w:name w:val="Table Grid"/>
    <w:basedOn w:val="TableNormal"/>
    <w:uiPriority w:val="59"/>
    <w:rsid w:val="00184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E8F"/>
  </w:style>
  <w:style w:type="paragraph" w:styleId="Footer">
    <w:name w:val="footer"/>
    <w:basedOn w:val="Normal"/>
    <w:link w:val="FooterChar"/>
    <w:uiPriority w:val="99"/>
    <w:unhideWhenUsed/>
    <w:rsid w:val="008C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AQ</cp:lastModifiedBy>
  <cp:revision>11</cp:revision>
  <cp:lastPrinted>2019-02-04T13:51:00Z</cp:lastPrinted>
  <dcterms:created xsi:type="dcterms:W3CDTF">2019-01-17T14:52:00Z</dcterms:created>
  <dcterms:modified xsi:type="dcterms:W3CDTF">2019-04-26T10:02:00Z</dcterms:modified>
</cp:coreProperties>
</file>