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3A" w:rsidRPr="007A3C72" w:rsidRDefault="008B6A3A" w:rsidP="008B6A3A">
      <w:pPr>
        <w:jc w:val="center"/>
        <w:rPr>
          <w:rFonts w:cstheme="minorHAnsi"/>
          <w:b/>
          <w:color w:val="548DD4"/>
          <w:sz w:val="28"/>
          <w:szCs w:val="28"/>
        </w:rPr>
      </w:pPr>
      <w:bookmarkStart w:id="0" w:name="_GoBack"/>
      <w:bookmarkEnd w:id="0"/>
      <w:r w:rsidRPr="007A3C72">
        <w:rPr>
          <w:rFonts w:cstheme="minorHAnsi"/>
          <w:b/>
          <w:color w:val="548DD4"/>
          <w:sz w:val="28"/>
          <w:szCs w:val="28"/>
        </w:rPr>
        <w:t xml:space="preserve">COURT BULLETIN: </w:t>
      </w:r>
      <w:r>
        <w:rPr>
          <w:rFonts w:cstheme="minorHAnsi"/>
          <w:b/>
          <w:color w:val="548DD4"/>
          <w:sz w:val="28"/>
          <w:szCs w:val="28"/>
        </w:rPr>
        <w:t xml:space="preserve">25 </w:t>
      </w:r>
      <w:r w:rsidR="00E30EB5">
        <w:rPr>
          <w:rFonts w:cstheme="minorHAnsi"/>
          <w:b/>
          <w:color w:val="548DD4"/>
          <w:sz w:val="28"/>
          <w:szCs w:val="28"/>
        </w:rPr>
        <w:t>April</w:t>
      </w:r>
      <w:r>
        <w:rPr>
          <w:rFonts w:cstheme="minorHAnsi"/>
          <w:b/>
          <w:color w:val="548DD4"/>
          <w:sz w:val="28"/>
          <w:szCs w:val="28"/>
        </w:rPr>
        <w:t xml:space="preserve"> 2013</w:t>
      </w:r>
    </w:p>
    <w:p w:rsidR="008B6A3A" w:rsidRPr="007A3C72" w:rsidRDefault="008B6A3A" w:rsidP="008B6A3A">
      <w:pPr>
        <w:jc w:val="both"/>
        <w:rPr>
          <w:rFonts w:cstheme="minorHAnsi"/>
        </w:rPr>
      </w:pPr>
      <w:r w:rsidRPr="007A3C72">
        <w:rPr>
          <w:rFonts w:cstheme="minorHAnsi"/>
        </w:rPr>
        <w:t>Dear Colleagues</w:t>
      </w:r>
    </w:p>
    <w:p w:rsidR="008B6A3A" w:rsidRPr="007A3C72" w:rsidRDefault="008B6A3A" w:rsidP="008B6A3A">
      <w:pPr>
        <w:jc w:val="both"/>
        <w:rPr>
          <w:rFonts w:cstheme="minorHAnsi"/>
        </w:rPr>
      </w:pPr>
      <w:r w:rsidRPr="007A3C72">
        <w:rPr>
          <w:rFonts w:cstheme="minorHAnsi"/>
        </w:rPr>
        <w:t xml:space="preserve">This is the </w:t>
      </w:r>
      <w:r w:rsidR="00E30EB5">
        <w:rPr>
          <w:rFonts w:cstheme="minorHAnsi"/>
        </w:rPr>
        <w:t>sixth</w:t>
      </w:r>
      <w:r w:rsidRPr="007A3C72">
        <w:rPr>
          <w:rFonts w:cstheme="minorHAnsi"/>
        </w:rPr>
        <w:t xml:space="preserve"> in a series of bulletins on University Court meetings, which will be available on the University website after each meeting. The summaries are not a formal record of the Court meeting.   </w:t>
      </w:r>
    </w:p>
    <w:p w:rsidR="008B6A3A" w:rsidRPr="007A3C72" w:rsidRDefault="008B6A3A" w:rsidP="008B6A3A">
      <w:pPr>
        <w:jc w:val="both"/>
        <w:rPr>
          <w:rFonts w:cstheme="minorHAnsi"/>
        </w:rPr>
      </w:pPr>
      <w:r w:rsidRPr="007A3C72">
        <w:rPr>
          <w:rFonts w:cstheme="minorHAnsi"/>
        </w:rPr>
        <w:t xml:space="preserve">The University Court held its </w:t>
      </w:r>
      <w:r w:rsidR="00E30EB5">
        <w:rPr>
          <w:rFonts w:cstheme="minorHAnsi"/>
        </w:rPr>
        <w:t>fifth</w:t>
      </w:r>
      <w:r w:rsidRPr="007A3C72">
        <w:rPr>
          <w:rFonts w:cstheme="minorHAnsi"/>
        </w:rPr>
        <w:t xml:space="preserve"> meeting of session 2012/2013 on </w:t>
      </w:r>
      <w:r>
        <w:rPr>
          <w:rFonts w:cstheme="minorHAnsi"/>
        </w:rPr>
        <w:t>25</w:t>
      </w:r>
      <w:r w:rsidRPr="008B6A3A">
        <w:rPr>
          <w:rFonts w:cstheme="minorHAnsi"/>
          <w:vertAlign w:val="superscript"/>
        </w:rPr>
        <w:t>th</w:t>
      </w:r>
      <w:r>
        <w:rPr>
          <w:rFonts w:cstheme="minorHAnsi"/>
        </w:rPr>
        <w:t xml:space="preserve"> </w:t>
      </w:r>
      <w:r w:rsidR="00E30EB5">
        <w:rPr>
          <w:rFonts w:cstheme="minorHAnsi"/>
        </w:rPr>
        <w:t>April</w:t>
      </w:r>
      <w:r w:rsidRPr="007A3C72">
        <w:rPr>
          <w:rFonts w:cstheme="minorHAnsi"/>
        </w:rPr>
        <w:t xml:space="preserve"> 201</w:t>
      </w:r>
      <w:r>
        <w:rPr>
          <w:rFonts w:cstheme="minorHAnsi"/>
        </w:rPr>
        <w:t>3</w:t>
      </w:r>
      <w:r w:rsidRPr="007A3C72">
        <w:rPr>
          <w:rFonts w:cstheme="minorHAnsi"/>
        </w:rPr>
        <w:t>. The main issues discussed were as follows:</w:t>
      </w:r>
    </w:p>
    <w:p w:rsidR="008B6A3A" w:rsidRPr="007A3C72" w:rsidRDefault="00554A8D" w:rsidP="008B6A3A">
      <w:pPr>
        <w:jc w:val="both"/>
        <w:rPr>
          <w:rFonts w:eastAsia="Calibri" w:cstheme="minorHAnsi"/>
          <w:b/>
          <w:color w:val="548DD4" w:themeColor="text2" w:themeTint="99"/>
          <w:sz w:val="24"/>
          <w:szCs w:val="24"/>
        </w:rPr>
      </w:pPr>
      <w:r w:rsidRPr="00554A8D">
        <w:rPr>
          <w:rFonts w:eastAsia="Calibri" w:cstheme="minorHAnsi"/>
          <w:b/>
          <w:color w:val="548DD4" w:themeColor="text2" w:themeTint="99"/>
          <w:sz w:val="24"/>
          <w:szCs w:val="24"/>
        </w:rPr>
        <w:t>Draft Scottish Code of Good HE Governance</w:t>
      </w:r>
    </w:p>
    <w:p w:rsidR="008B6A3A" w:rsidRPr="002A5A72" w:rsidRDefault="008B6A3A" w:rsidP="002A5A72">
      <w:pPr>
        <w:rPr>
          <w:rFonts w:cstheme="minorHAnsi"/>
        </w:rPr>
      </w:pPr>
      <w:r>
        <w:rPr>
          <w:rFonts w:cstheme="minorHAnsi"/>
        </w:rPr>
        <w:t xml:space="preserve">Court </w:t>
      </w:r>
      <w:r w:rsidR="00554A8D">
        <w:rPr>
          <w:rFonts w:cstheme="minorHAnsi"/>
        </w:rPr>
        <w:t>considered</w:t>
      </w:r>
      <w:r w:rsidR="00554A8D" w:rsidRPr="00554A8D">
        <w:rPr>
          <w:rFonts w:cstheme="minorHAnsi"/>
        </w:rPr>
        <w:t xml:space="preserve"> </w:t>
      </w:r>
      <w:r w:rsidR="00554A8D">
        <w:rPr>
          <w:rFonts w:cstheme="minorHAnsi"/>
        </w:rPr>
        <w:t>the draft Scottish Code of Good HE Governance issued for consultation by the Steering Group established by the Committee of Scottish Chairs.  The draft Code had been prepared following a p</w:t>
      </w:r>
      <w:r w:rsidR="000C06CA">
        <w:rPr>
          <w:rFonts w:cstheme="minorHAnsi"/>
        </w:rPr>
        <w:t xml:space="preserve">eriod of extensive consultation.  </w:t>
      </w:r>
      <w:r w:rsidR="00554A8D">
        <w:rPr>
          <w:rFonts w:cstheme="minorHAnsi"/>
        </w:rPr>
        <w:t xml:space="preserve">Court </w:t>
      </w:r>
      <w:r w:rsidR="005571C6">
        <w:rPr>
          <w:rFonts w:cstheme="minorHAnsi"/>
        </w:rPr>
        <w:t xml:space="preserve">supported the draft Code and </w:t>
      </w:r>
      <w:r w:rsidR="00554A8D">
        <w:rPr>
          <w:rFonts w:cstheme="minorHAnsi"/>
        </w:rPr>
        <w:t>raised a few points of clarification which will be fed back to the Steering Group.  It is expected that the new Code will come into force on a “comply or explain” basis on 1</w:t>
      </w:r>
      <w:r w:rsidR="00554A8D" w:rsidRPr="00554A8D">
        <w:rPr>
          <w:rFonts w:cstheme="minorHAnsi"/>
          <w:vertAlign w:val="superscript"/>
        </w:rPr>
        <w:t>st</w:t>
      </w:r>
      <w:r w:rsidR="00554A8D">
        <w:rPr>
          <w:rFonts w:cstheme="minorHAnsi"/>
        </w:rPr>
        <w:t xml:space="preserve"> August 2013.  </w:t>
      </w:r>
      <w:r w:rsidR="000C06CA">
        <w:rPr>
          <w:rFonts w:cstheme="minorHAnsi"/>
        </w:rPr>
        <w:t>The University will be examining its own policies and procedures to ensure adherence to the Code</w:t>
      </w:r>
      <w:r w:rsidR="009A5C9E">
        <w:rPr>
          <w:rFonts w:cstheme="minorHAnsi"/>
        </w:rPr>
        <w:t>.</w:t>
      </w:r>
    </w:p>
    <w:p w:rsidR="008B6A3A" w:rsidRPr="007A3C72" w:rsidRDefault="00CA41C8" w:rsidP="008B6A3A">
      <w:pPr>
        <w:rPr>
          <w:rFonts w:cstheme="minorHAnsi"/>
          <w:b/>
          <w:color w:val="548DD4" w:themeColor="text2" w:themeTint="99"/>
          <w:sz w:val="24"/>
          <w:szCs w:val="24"/>
        </w:rPr>
      </w:pPr>
      <w:r>
        <w:rPr>
          <w:rFonts w:cstheme="minorHAnsi"/>
          <w:b/>
          <w:color w:val="548DD4" w:themeColor="text2" w:themeTint="99"/>
          <w:sz w:val="24"/>
          <w:szCs w:val="24"/>
        </w:rPr>
        <w:t>Hamish Wood Building Refurbishment Business Case</w:t>
      </w:r>
    </w:p>
    <w:p w:rsidR="005D0680" w:rsidRDefault="009153BC" w:rsidP="008B6A3A">
      <w:pPr>
        <w:rPr>
          <w:rFonts w:cstheme="minorHAnsi"/>
        </w:rPr>
      </w:pPr>
      <w:r>
        <w:rPr>
          <w:rFonts w:cstheme="minorHAnsi"/>
        </w:rPr>
        <w:t xml:space="preserve">Court approved </w:t>
      </w:r>
      <w:r w:rsidR="000C06CA">
        <w:rPr>
          <w:rFonts w:cstheme="minorHAnsi"/>
        </w:rPr>
        <w:t>in p</w:t>
      </w:r>
      <w:r w:rsidR="00E7132E">
        <w:rPr>
          <w:rFonts w:cstheme="minorHAnsi"/>
        </w:rPr>
        <w:t xml:space="preserve">rinciple </w:t>
      </w:r>
      <w:r>
        <w:rPr>
          <w:rFonts w:cstheme="minorHAnsi"/>
        </w:rPr>
        <w:t xml:space="preserve">a proposal to refurbish the </w:t>
      </w:r>
      <w:r w:rsidR="009A5C9E">
        <w:rPr>
          <w:rFonts w:cstheme="minorHAnsi"/>
        </w:rPr>
        <w:t xml:space="preserve">whole </w:t>
      </w:r>
      <w:r>
        <w:rPr>
          <w:rFonts w:cstheme="minorHAnsi"/>
        </w:rPr>
        <w:t>Hamish Wood Building</w:t>
      </w:r>
      <w:r w:rsidR="00E7132E">
        <w:rPr>
          <w:rFonts w:cstheme="minorHAnsi"/>
        </w:rPr>
        <w:t xml:space="preserve"> internally and externally </w:t>
      </w:r>
      <w:r>
        <w:rPr>
          <w:rFonts w:cstheme="minorHAnsi"/>
        </w:rPr>
        <w:t>and to commit now to the expenditure of £5.5m f</w:t>
      </w:r>
      <w:r w:rsidR="00E7132E">
        <w:rPr>
          <w:rFonts w:cstheme="minorHAnsi"/>
        </w:rPr>
        <w:t>or phase 1 of the refurbishment, a multipurpose atrium a</w:t>
      </w:r>
      <w:r w:rsidR="005571C6">
        <w:rPr>
          <w:rFonts w:cstheme="minorHAnsi"/>
        </w:rPr>
        <w:t>nd the first floor.  This comple</w:t>
      </w:r>
      <w:r w:rsidR="00E7132E">
        <w:rPr>
          <w:rFonts w:cstheme="minorHAnsi"/>
        </w:rPr>
        <w:t>ments and extend</w:t>
      </w:r>
      <w:r w:rsidR="005D0680">
        <w:rPr>
          <w:rFonts w:cstheme="minorHAnsi"/>
        </w:rPr>
        <w:t>s work on the ground floor of the Hamish Wood Building which is already incorporated in the Heart of the Campus project.</w:t>
      </w:r>
    </w:p>
    <w:p w:rsidR="009153BC" w:rsidRDefault="009153BC" w:rsidP="008B6A3A">
      <w:pPr>
        <w:rPr>
          <w:rFonts w:cstheme="minorHAnsi"/>
        </w:rPr>
      </w:pPr>
      <w:r>
        <w:rPr>
          <w:rFonts w:cstheme="minorHAnsi"/>
        </w:rPr>
        <w:t xml:space="preserve">The Hamish Wood Building is the oldest and most intensively used </w:t>
      </w:r>
      <w:r w:rsidR="00E7132E">
        <w:rPr>
          <w:rFonts w:cstheme="minorHAnsi"/>
        </w:rPr>
        <w:t xml:space="preserve">of the </w:t>
      </w:r>
      <w:r>
        <w:rPr>
          <w:rFonts w:cstheme="minorHAnsi"/>
        </w:rPr>
        <w:t>major teaching building</w:t>
      </w:r>
      <w:r w:rsidR="000C06CA">
        <w:rPr>
          <w:rFonts w:cstheme="minorHAnsi"/>
        </w:rPr>
        <w:t>s</w:t>
      </w:r>
      <w:r>
        <w:rPr>
          <w:rFonts w:cstheme="minorHAnsi"/>
        </w:rPr>
        <w:t xml:space="preserve"> on campus and ha</w:t>
      </w:r>
      <w:r w:rsidR="000C06CA">
        <w:rPr>
          <w:rFonts w:cstheme="minorHAnsi"/>
        </w:rPr>
        <w:t>s</w:t>
      </w:r>
      <w:r>
        <w:rPr>
          <w:rFonts w:cstheme="minorHAnsi"/>
        </w:rPr>
        <w:t xml:space="preserve"> </w:t>
      </w:r>
      <w:r w:rsidR="00E7132E">
        <w:rPr>
          <w:rFonts w:cstheme="minorHAnsi"/>
        </w:rPr>
        <w:t>lacked</w:t>
      </w:r>
      <w:r>
        <w:rPr>
          <w:rFonts w:cstheme="minorHAnsi"/>
        </w:rPr>
        <w:t xml:space="preserve"> recent investment.  The </w:t>
      </w:r>
      <w:r w:rsidR="005D0680">
        <w:rPr>
          <w:rFonts w:cstheme="minorHAnsi"/>
        </w:rPr>
        <w:t xml:space="preserve">intention </w:t>
      </w:r>
      <w:r w:rsidR="000C06CA">
        <w:rPr>
          <w:rFonts w:cstheme="minorHAnsi"/>
        </w:rPr>
        <w:t>was</w:t>
      </w:r>
      <w:r>
        <w:rPr>
          <w:rFonts w:cstheme="minorHAnsi"/>
        </w:rPr>
        <w:t xml:space="preserve"> </w:t>
      </w:r>
      <w:r w:rsidR="00E7132E">
        <w:rPr>
          <w:rFonts w:cstheme="minorHAnsi"/>
        </w:rPr>
        <w:t>flagged</w:t>
      </w:r>
      <w:r>
        <w:rPr>
          <w:rFonts w:cstheme="minorHAnsi"/>
        </w:rPr>
        <w:t xml:space="preserve"> within the context </w:t>
      </w:r>
      <w:r w:rsidR="00E7132E">
        <w:rPr>
          <w:rFonts w:cstheme="minorHAnsi"/>
        </w:rPr>
        <w:t xml:space="preserve">of Phase 2 </w:t>
      </w:r>
      <w:r>
        <w:rPr>
          <w:rFonts w:cstheme="minorHAnsi"/>
        </w:rPr>
        <w:t xml:space="preserve">of the </w:t>
      </w:r>
      <w:r w:rsidR="00E7132E">
        <w:rPr>
          <w:rFonts w:cstheme="minorHAnsi"/>
        </w:rPr>
        <w:t xml:space="preserve">2010 </w:t>
      </w:r>
      <w:r>
        <w:rPr>
          <w:rFonts w:cstheme="minorHAnsi"/>
        </w:rPr>
        <w:t>University Ma</w:t>
      </w:r>
      <w:r w:rsidR="000C06CA">
        <w:rPr>
          <w:rFonts w:cstheme="minorHAnsi"/>
        </w:rPr>
        <w:t>sterplan for the campus and was</w:t>
      </w:r>
      <w:r>
        <w:rPr>
          <w:rFonts w:cstheme="minorHAnsi"/>
        </w:rPr>
        <w:t xml:space="preserve"> brought forward </w:t>
      </w:r>
      <w:r w:rsidR="00E7132E">
        <w:rPr>
          <w:rFonts w:cstheme="minorHAnsi"/>
        </w:rPr>
        <w:t xml:space="preserve">to Phase 1 of the Masterplan  </w:t>
      </w:r>
      <w:r>
        <w:rPr>
          <w:rFonts w:cstheme="minorHAnsi"/>
        </w:rPr>
        <w:t>because of a reappraisal of the need</w:t>
      </w:r>
      <w:r w:rsidR="00E7132E">
        <w:rPr>
          <w:rFonts w:cstheme="minorHAnsi"/>
        </w:rPr>
        <w:t>s</w:t>
      </w:r>
      <w:r>
        <w:rPr>
          <w:rFonts w:cstheme="minorHAnsi"/>
        </w:rPr>
        <w:t xml:space="preserve"> of the Glasgow School </w:t>
      </w:r>
      <w:r w:rsidRPr="003A19F9">
        <w:rPr>
          <w:rFonts w:cstheme="minorHAnsi"/>
          <w:i/>
        </w:rPr>
        <w:t>for</w:t>
      </w:r>
      <w:r>
        <w:rPr>
          <w:rFonts w:cstheme="minorHAnsi"/>
        </w:rPr>
        <w:t xml:space="preserve"> Business and Society to offer modern attractive and effective teaching, learning and research spaces necessary for the School to ma</w:t>
      </w:r>
      <w:r w:rsidR="00E7132E">
        <w:rPr>
          <w:rFonts w:cstheme="minorHAnsi"/>
        </w:rPr>
        <w:t>intain its competitive position, and the decision taken not to proceed as proposed in the Masterplan</w:t>
      </w:r>
      <w:r w:rsidR="00D502A3">
        <w:rPr>
          <w:rFonts w:cstheme="minorHAnsi"/>
        </w:rPr>
        <w:t>,</w:t>
      </w:r>
      <w:r w:rsidR="00E7132E">
        <w:rPr>
          <w:rFonts w:cstheme="minorHAnsi"/>
        </w:rPr>
        <w:t xml:space="preserve"> with a new build of Executive Education within Phase 1.</w:t>
      </w:r>
    </w:p>
    <w:p w:rsidR="00E7132E" w:rsidRDefault="00E7132E" w:rsidP="008B6A3A">
      <w:pPr>
        <w:rPr>
          <w:rFonts w:cstheme="minorHAnsi"/>
        </w:rPr>
      </w:pPr>
    </w:p>
    <w:p w:rsidR="008B6A3A" w:rsidRPr="008B6A3A" w:rsidRDefault="009153BC" w:rsidP="008B6A3A">
      <w:pPr>
        <w:rPr>
          <w:rFonts w:cstheme="minorHAnsi"/>
          <w:b/>
          <w:color w:val="548DD4" w:themeColor="text2" w:themeTint="99"/>
          <w:sz w:val="24"/>
          <w:szCs w:val="24"/>
        </w:rPr>
      </w:pPr>
      <w:r>
        <w:rPr>
          <w:rFonts w:cstheme="minorHAnsi"/>
          <w:b/>
          <w:color w:val="548DD4" w:themeColor="text2" w:themeTint="99"/>
          <w:sz w:val="24"/>
          <w:szCs w:val="24"/>
        </w:rPr>
        <w:t xml:space="preserve"> </w:t>
      </w:r>
      <w:r w:rsidR="008B6A3A">
        <w:rPr>
          <w:rFonts w:cstheme="minorHAnsi"/>
          <w:b/>
          <w:color w:val="548DD4" w:themeColor="text2" w:themeTint="99"/>
          <w:sz w:val="24"/>
          <w:szCs w:val="24"/>
        </w:rPr>
        <w:t>GCU New York Progress Re</w:t>
      </w:r>
      <w:r w:rsidR="000D7EBC">
        <w:rPr>
          <w:rFonts w:cstheme="minorHAnsi"/>
          <w:b/>
          <w:color w:val="548DD4" w:themeColor="text2" w:themeTint="99"/>
          <w:sz w:val="24"/>
          <w:szCs w:val="24"/>
        </w:rPr>
        <w:t>por</w:t>
      </w:r>
      <w:r w:rsidR="008B6A3A">
        <w:rPr>
          <w:rFonts w:cstheme="minorHAnsi"/>
          <w:b/>
          <w:color w:val="548DD4" w:themeColor="text2" w:themeTint="99"/>
          <w:sz w:val="24"/>
          <w:szCs w:val="24"/>
        </w:rPr>
        <w:t>t</w:t>
      </w:r>
    </w:p>
    <w:p w:rsidR="008B6A3A" w:rsidRDefault="009153BC" w:rsidP="009153BC">
      <w:pPr>
        <w:rPr>
          <w:rFonts w:eastAsia="Calibri" w:cstheme="minorHAnsi"/>
        </w:rPr>
      </w:pPr>
      <w:r>
        <w:rPr>
          <w:rFonts w:cstheme="minorHAnsi"/>
        </w:rPr>
        <w:t>The</w:t>
      </w:r>
      <w:r w:rsidR="008B6A3A" w:rsidRPr="006E4D54">
        <w:rPr>
          <w:rFonts w:eastAsia="Calibri" w:cstheme="minorHAnsi"/>
        </w:rPr>
        <w:t xml:space="preserve"> VP and PVC International and External Relations</w:t>
      </w:r>
      <w:r>
        <w:rPr>
          <w:rFonts w:eastAsia="Calibri" w:cstheme="minorHAnsi"/>
        </w:rPr>
        <w:t xml:space="preserve"> updated Court on the</w:t>
      </w:r>
      <w:r w:rsidR="008B6A3A">
        <w:rPr>
          <w:rFonts w:eastAsia="Calibri" w:cstheme="minorHAnsi"/>
        </w:rPr>
        <w:t xml:space="preserve"> progress made </w:t>
      </w:r>
      <w:r>
        <w:rPr>
          <w:rFonts w:eastAsia="Calibri" w:cstheme="minorHAnsi"/>
        </w:rPr>
        <w:t>in relati</w:t>
      </w:r>
      <w:r w:rsidR="00ED22C7">
        <w:rPr>
          <w:rFonts w:eastAsia="Calibri" w:cstheme="minorHAnsi"/>
        </w:rPr>
        <w:t xml:space="preserve">on </w:t>
      </w:r>
      <w:r>
        <w:rPr>
          <w:rFonts w:eastAsia="Calibri" w:cstheme="minorHAnsi"/>
        </w:rPr>
        <w:t xml:space="preserve">to establishing GCU NY.  </w:t>
      </w:r>
      <w:r w:rsidR="000C06CA">
        <w:rPr>
          <w:rFonts w:eastAsia="Calibri" w:cstheme="minorHAnsi"/>
        </w:rPr>
        <w:t>Suitable premises have been identified and n</w:t>
      </w:r>
      <w:r>
        <w:rPr>
          <w:rFonts w:eastAsia="Calibri" w:cstheme="minorHAnsi"/>
        </w:rPr>
        <w:t xml:space="preserve">egotiations </w:t>
      </w:r>
      <w:r w:rsidR="000C06CA">
        <w:rPr>
          <w:rFonts w:eastAsia="Calibri" w:cstheme="minorHAnsi"/>
        </w:rPr>
        <w:t>on the lease are underway.  The University has also applied to</w:t>
      </w:r>
      <w:r>
        <w:rPr>
          <w:rFonts w:eastAsia="Calibri" w:cstheme="minorHAnsi"/>
        </w:rPr>
        <w:t xml:space="preserve"> the State Education Department for the Education Licence </w:t>
      </w:r>
      <w:r w:rsidR="000C06CA">
        <w:rPr>
          <w:rFonts w:eastAsia="Calibri" w:cstheme="minorHAnsi"/>
        </w:rPr>
        <w:t>and this</w:t>
      </w:r>
      <w:r>
        <w:rPr>
          <w:rFonts w:eastAsia="Calibri" w:cstheme="minorHAnsi"/>
        </w:rPr>
        <w:t xml:space="preserve"> progressing well, although the whole process will ta</w:t>
      </w:r>
      <w:r w:rsidR="000C06CA">
        <w:rPr>
          <w:rFonts w:eastAsia="Calibri" w:cstheme="minorHAnsi"/>
        </w:rPr>
        <w:t xml:space="preserve">ke around 18 months to complete.  </w:t>
      </w:r>
      <w:r>
        <w:rPr>
          <w:rFonts w:eastAsia="Calibri" w:cstheme="minorHAnsi"/>
        </w:rPr>
        <w:t xml:space="preserve"> </w:t>
      </w:r>
      <w:r w:rsidR="000C06CA">
        <w:rPr>
          <w:rFonts w:eastAsia="Calibri" w:cstheme="minorHAnsi"/>
        </w:rPr>
        <w:t xml:space="preserve"> </w:t>
      </w:r>
      <w:r w:rsidR="00ED22C7">
        <w:rPr>
          <w:rFonts w:eastAsia="Calibri" w:cstheme="minorHAnsi"/>
        </w:rPr>
        <w:t xml:space="preserve">The launch date will now be </w:t>
      </w:r>
      <w:r w:rsidR="005571C6">
        <w:rPr>
          <w:rFonts w:eastAsia="Calibri" w:cstheme="minorHAnsi"/>
        </w:rPr>
        <w:t>in late</w:t>
      </w:r>
      <w:r w:rsidR="00ED22C7">
        <w:rPr>
          <w:rFonts w:eastAsia="Calibri" w:cstheme="minorHAnsi"/>
        </w:rPr>
        <w:t xml:space="preserve"> September to coincide with the Chancellor, Professor Muhammad Yunus’, visit to New York with the Clinton Foundation.</w:t>
      </w:r>
    </w:p>
    <w:p w:rsidR="005D0680" w:rsidRDefault="005D0680" w:rsidP="009153BC">
      <w:pPr>
        <w:rPr>
          <w:rFonts w:eastAsia="Calibri" w:cstheme="minorHAnsi"/>
        </w:rPr>
      </w:pPr>
    </w:p>
    <w:p w:rsidR="005D0680" w:rsidRDefault="005D0680" w:rsidP="009153BC">
      <w:pPr>
        <w:rPr>
          <w:rFonts w:eastAsia="Calibri" w:cstheme="minorHAnsi"/>
        </w:rPr>
      </w:pPr>
    </w:p>
    <w:p w:rsidR="00E061E1" w:rsidRPr="008B6A3A" w:rsidRDefault="00E061E1" w:rsidP="00E061E1">
      <w:pPr>
        <w:rPr>
          <w:rFonts w:cstheme="minorHAnsi"/>
          <w:b/>
          <w:color w:val="548DD4" w:themeColor="text2" w:themeTint="99"/>
          <w:sz w:val="24"/>
          <w:szCs w:val="24"/>
        </w:rPr>
      </w:pPr>
      <w:r>
        <w:rPr>
          <w:rFonts w:cstheme="minorHAnsi"/>
          <w:b/>
          <w:color w:val="548DD4" w:themeColor="text2" w:themeTint="99"/>
          <w:sz w:val="24"/>
          <w:szCs w:val="24"/>
        </w:rPr>
        <w:lastRenderedPageBreak/>
        <w:t>GCU New York: Facility Letter and Resolution</w:t>
      </w:r>
    </w:p>
    <w:p w:rsidR="00445B54" w:rsidRDefault="00E061E1" w:rsidP="009153BC">
      <w:pPr>
        <w:rPr>
          <w:rFonts w:eastAsia="Calibri" w:cstheme="minorHAnsi"/>
        </w:rPr>
      </w:pPr>
      <w:r>
        <w:rPr>
          <w:rFonts w:eastAsia="Calibri" w:cstheme="minorHAnsi"/>
        </w:rPr>
        <w:t>Court approved the signing of a Resolution to amend the</w:t>
      </w:r>
      <w:r w:rsidR="009A5C9E">
        <w:rPr>
          <w:rFonts w:eastAsia="Calibri" w:cstheme="minorHAnsi"/>
        </w:rPr>
        <w:t xml:space="preserve"> University’s existing </w:t>
      </w:r>
      <w:r>
        <w:rPr>
          <w:rFonts w:eastAsia="Calibri" w:cstheme="minorHAnsi"/>
        </w:rPr>
        <w:t>Facility Letter with the Bank of Scotland</w:t>
      </w:r>
      <w:r w:rsidR="00EB006B">
        <w:rPr>
          <w:rFonts w:eastAsia="Calibri" w:cstheme="minorHAnsi"/>
        </w:rPr>
        <w:t>.  The revised Facility Letter now</w:t>
      </w:r>
      <w:r>
        <w:rPr>
          <w:rFonts w:eastAsia="Calibri" w:cstheme="minorHAnsi"/>
        </w:rPr>
        <w:t xml:space="preserve"> include</w:t>
      </w:r>
      <w:r w:rsidR="00EB006B">
        <w:rPr>
          <w:rFonts w:eastAsia="Calibri" w:cstheme="minorHAnsi"/>
        </w:rPr>
        <w:t>s</w:t>
      </w:r>
      <w:r>
        <w:rPr>
          <w:rFonts w:eastAsia="Calibri" w:cstheme="minorHAnsi"/>
        </w:rPr>
        <w:t xml:space="preserve"> </w:t>
      </w:r>
      <w:r w:rsidR="00EB006B">
        <w:rPr>
          <w:rFonts w:eastAsia="Calibri" w:cstheme="minorHAnsi"/>
        </w:rPr>
        <w:t>provision</w:t>
      </w:r>
      <w:r>
        <w:rPr>
          <w:rFonts w:eastAsia="Calibri" w:cstheme="minorHAnsi"/>
        </w:rPr>
        <w:t xml:space="preserve"> for a Letter of Credit (LOC) to support the establishment of GCU NY </w:t>
      </w:r>
      <w:r w:rsidR="00EB006B">
        <w:rPr>
          <w:rFonts w:eastAsia="Calibri" w:cstheme="minorHAnsi"/>
        </w:rPr>
        <w:t>and the LOC provides additional financial assurances to the landlord.</w:t>
      </w:r>
    </w:p>
    <w:p w:rsidR="00254C10" w:rsidRPr="000D7EBC" w:rsidRDefault="00ED22C7" w:rsidP="00254C10">
      <w:pPr>
        <w:rPr>
          <w:rFonts w:cstheme="minorHAnsi"/>
          <w:b/>
          <w:color w:val="548DD4" w:themeColor="text2" w:themeTint="99"/>
          <w:sz w:val="24"/>
          <w:szCs w:val="24"/>
        </w:rPr>
      </w:pPr>
      <w:r>
        <w:rPr>
          <w:rFonts w:cstheme="minorHAnsi"/>
          <w:b/>
          <w:color w:val="548DD4" w:themeColor="text2" w:themeTint="99"/>
          <w:sz w:val="24"/>
          <w:szCs w:val="24"/>
        </w:rPr>
        <w:t>Research Excellence Framework</w:t>
      </w:r>
    </w:p>
    <w:p w:rsidR="00E061E1" w:rsidRDefault="00254C10" w:rsidP="000D7EBC">
      <w:pPr>
        <w:rPr>
          <w:rFonts w:cstheme="minorHAnsi"/>
        </w:rPr>
      </w:pPr>
      <w:r>
        <w:rPr>
          <w:rFonts w:cstheme="minorHAnsi"/>
        </w:rPr>
        <w:t xml:space="preserve">Court received a report </w:t>
      </w:r>
      <w:r w:rsidR="00B73E3A">
        <w:rPr>
          <w:rFonts w:cstheme="minorHAnsi"/>
        </w:rPr>
        <w:t xml:space="preserve">by the VP and PVC Research summarising the University’s plans and progress towards the UK Research Excellence Framework (REF) exercise in November 2013. The University performed well in the last research assessment exercise and </w:t>
      </w:r>
      <w:r w:rsidR="009A5C9E">
        <w:rPr>
          <w:rFonts w:cstheme="minorHAnsi"/>
        </w:rPr>
        <w:t>seeks at least to maintain</w:t>
      </w:r>
      <w:r w:rsidR="00B73E3A">
        <w:rPr>
          <w:rFonts w:cstheme="minorHAnsi"/>
        </w:rPr>
        <w:t xml:space="preserve"> that position, </w:t>
      </w:r>
      <w:r w:rsidR="009A5C9E">
        <w:rPr>
          <w:rFonts w:cstheme="minorHAnsi"/>
        </w:rPr>
        <w:t>albeit against a background of fierce competition and investment across the sector</w:t>
      </w:r>
      <w:r w:rsidR="00B73E3A">
        <w:rPr>
          <w:rFonts w:cstheme="minorHAnsi"/>
        </w:rPr>
        <w:t xml:space="preserve">.  The University has </w:t>
      </w:r>
      <w:r w:rsidR="009A5C9E">
        <w:rPr>
          <w:rFonts w:cstheme="minorHAnsi"/>
        </w:rPr>
        <w:t xml:space="preserve">however, </w:t>
      </w:r>
      <w:r w:rsidR="00B73E3A">
        <w:rPr>
          <w:rFonts w:cstheme="minorHAnsi"/>
        </w:rPr>
        <w:t>made considerable progress in the quality of its research over the last 6 years</w:t>
      </w:r>
      <w:r w:rsidR="009A5C9E">
        <w:rPr>
          <w:rFonts w:cstheme="minorHAnsi"/>
        </w:rPr>
        <w:t>,</w:t>
      </w:r>
      <w:r w:rsidR="00B73E3A">
        <w:rPr>
          <w:rFonts w:cstheme="minorHAnsi"/>
        </w:rPr>
        <w:t xml:space="preserve"> and i</w:t>
      </w:r>
      <w:r w:rsidR="00D37A59">
        <w:rPr>
          <w:rFonts w:cstheme="minorHAnsi"/>
        </w:rPr>
        <w:t xml:space="preserve">t is </w:t>
      </w:r>
      <w:r w:rsidR="00B73E3A">
        <w:rPr>
          <w:rFonts w:cstheme="minorHAnsi"/>
        </w:rPr>
        <w:t xml:space="preserve">hoped that this </w:t>
      </w:r>
      <w:r w:rsidR="009A5C9E">
        <w:rPr>
          <w:rFonts w:cstheme="minorHAnsi"/>
        </w:rPr>
        <w:t>will</w:t>
      </w:r>
      <w:r w:rsidR="00B73E3A">
        <w:rPr>
          <w:rFonts w:cstheme="minorHAnsi"/>
        </w:rPr>
        <w:t xml:space="preserve"> be reflected</w:t>
      </w:r>
      <w:r w:rsidR="00D37A59">
        <w:rPr>
          <w:rFonts w:cstheme="minorHAnsi"/>
        </w:rPr>
        <w:t xml:space="preserve"> in the</w:t>
      </w:r>
      <w:r w:rsidR="00EA69CB">
        <w:rPr>
          <w:rFonts w:cstheme="minorHAnsi"/>
        </w:rPr>
        <w:t xml:space="preserve"> University’s position following the</w:t>
      </w:r>
      <w:r w:rsidR="00D37A59">
        <w:rPr>
          <w:rFonts w:cstheme="minorHAnsi"/>
        </w:rPr>
        <w:t xml:space="preserve"> REF.</w:t>
      </w:r>
      <w:r w:rsidR="00EA69CB">
        <w:rPr>
          <w:rFonts w:cstheme="minorHAnsi"/>
        </w:rPr>
        <w:t xml:space="preserve">  The outcome</w:t>
      </w:r>
      <w:r w:rsidR="00D502A3">
        <w:rPr>
          <w:rFonts w:cstheme="minorHAnsi"/>
        </w:rPr>
        <w:t>, however,</w:t>
      </w:r>
      <w:r w:rsidR="00425500">
        <w:rPr>
          <w:rFonts w:cstheme="minorHAnsi"/>
        </w:rPr>
        <w:t xml:space="preserve"> cannot be predicted with any certainty.</w:t>
      </w:r>
    </w:p>
    <w:p w:rsidR="008D18B4" w:rsidRPr="000D7EBC" w:rsidRDefault="008D18B4" w:rsidP="008D18B4">
      <w:pPr>
        <w:rPr>
          <w:rFonts w:cstheme="minorHAnsi"/>
          <w:b/>
          <w:color w:val="548DD4" w:themeColor="text2" w:themeTint="99"/>
          <w:sz w:val="24"/>
          <w:szCs w:val="24"/>
        </w:rPr>
      </w:pPr>
      <w:r>
        <w:rPr>
          <w:rFonts w:cstheme="minorHAnsi"/>
          <w:b/>
          <w:color w:val="548DD4" w:themeColor="text2" w:themeTint="99"/>
          <w:sz w:val="24"/>
          <w:szCs w:val="24"/>
        </w:rPr>
        <w:t>Equality Outcomes Framework</w:t>
      </w:r>
    </w:p>
    <w:p w:rsidR="008D18B4" w:rsidRPr="00E061E1" w:rsidRDefault="008D18B4" w:rsidP="000D7EBC">
      <w:pPr>
        <w:rPr>
          <w:rFonts w:cstheme="minorHAnsi"/>
        </w:rPr>
      </w:pPr>
      <w:r>
        <w:rPr>
          <w:rFonts w:cstheme="minorHAnsi"/>
        </w:rPr>
        <w:t>Court approved the Equality Outcomes Framework which outlined the University’s commitment to mainstreaming equality and diversity into core business functions</w:t>
      </w:r>
      <w:r w:rsidR="00EA69CB">
        <w:rPr>
          <w:rFonts w:cstheme="minorHAnsi"/>
        </w:rPr>
        <w:t>.  This</w:t>
      </w:r>
      <w:r w:rsidR="00425500">
        <w:rPr>
          <w:rFonts w:cstheme="minorHAnsi"/>
        </w:rPr>
        <w:t xml:space="preserve"> also</w:t>
      </w:r>
      <w:r w:rsidR="00EA69CB">
        <w:rPr>
          <w:rFonts w:cstheme="minorHAnsi"/>
        </w:rPr>
        <w:t xml:space="preserve"> provides </w:t>
      </w:r>
      <w:r w:rsidR="00425500">
        <w:rPr>
          <w:rFonts w:cstheme="minorHAnsi"/>
        </w:rPr>
        <w:t xml:space="preserve">the framework for </w:t>
      </w:r>
      <w:r w:rsidR="00EA69CB">
        <w:rPr>
          <w:rFonts w:cstheme="minorHAnsi"/>
        </w:rPr>
        <w:t xml:space="preserve">the annual reporting </w:t>
      </w:r>
      <w:r w:rsidR="00425500">
        <w:rPr>
          <w:rFonts w:cstheme="minorHAnsi"/>
        </w:rPr>
        <w:t>on</w:t>
      </w:r>
      <w:r w:rsidR="00EA69CB">
        <w:rPr>
          <w:rFonts w:cstheme="minorHAnsi"/>
        </w:rPr>
        <w:t xml:space="preserve"> progress as well as ensuring </w:t>
      </w:r>
      <w:r w:rsidR="005D0680">
        <w:rPr>
          <w:rFonts w:cstheme="minorHAnsi"/>
        </w:rPr>
        <w:t>t</w:t>
      </w:r>
      <w:r w:rsidR="00EA69CB">
        <w:rPr>
          <w:rFonts w:cstheme="minorHAnsi"/>
        </w:rPr>
        <w:t>he University</w:t>
      </w:r>
      <w:r>
        <w:rPr>
          <w:rFonts w:cstheme="minorHAnsi"/>
        </w:rPr>
        <w:t xml:space="preserve"> meet</w:t>
      </w:r>
      <w:r w:rsidR="00EA69CB">
        <w:rPr>
          <w:rFonts w:cstheme="minorHAnsi"/>
        </w:rPr>
        <w:t>s</w:t>
      </w:r>
      <w:r>
        <w:rPr>
          <w:rFonts w:cstheme="minorHAnsi"/>
        </w:rPr>
        <w:t xml:space="preserve"> the require</w:t>
      </w:r>
      <w:r w:rsidR="00E061E1">
        <w:rPr>
          <w:rFonts w:cstheme="minorHAnsi"/>
        </w:rPr>
        <w:t>ments of the Equality Act 2010</w:t>
      </w:r>
      <w:r w:rsidR="00EA69CB">
        <w:rPr>
          <w:rFonts w:cstheme="minorHAnsi"/>
        </w:rPr>
        <w:t xml:space="preserve"> for an Equality Outcomes Framework.</w:t>
      </w:r>
    </w:p>
    <w:p w:rsidR="008B6A3A" w:rsidRPr="000D7EBC" w:rsidRDefault="00D37A59" w:rsidP="000D7EBC">
      <w:pPr>
        <w:rPr>
          <w:rFonts w:cstheme="minorHAnsi"/>
          <w:b/>
          <w:color w:val="548DD4" w:themeColor="text2" w:themeTint="99"/>
          <w:sz w:val="24"/>
          <w:szCs w:val="24"/>
        </w:rPr>
      </w:pPr>
      <w:r>
        <w:rPr>
          <w:rFonts w:cstheme="minorHAnsi"/>
          <w:b/>
          <w:color w:val="548DD4" w:themeColor="text2" w:themeTint="99"/>
          <w:sz w:val="24"/>
          <w:szCs w:val="24"/>
        </w:rPr>
        <w:t>Recruitment and Selection Revised Policy</w:t>
      </w:r>
    </w:p>
    <w:p w:rsidR="000D7EBC" w:rsidRPr="005556F5" w:rsidRDefault="000D7EBC" w:rsidP="005556F5">
      <w:pPr>
        <w:rPr>
          <w:rFonts w:cstheme="minorHAnsi"/>
        </w:rPr>
      </w:pPr>
      <w:r>
        <w:rPr>
          <w:rFonts w:cstheme="minorHAnsi"/>
        </w:rPr>
        <w:t xml:space="preserve">Court </w:t>
      </w:r>
      <w:r w:rsidR="00D37A59">
        <w:rPr>
          <w:rFonts w:cstheme="minorHAnsi"/>
        </w:rPr>
        <w:t>approved the revised Recruitment and Selection Policy which will be accompanied by</w:t>
      </w:r>
      <w:r w:rsidR="005D0680">
        <w:rPr>
          <w:rFonts w:cstheme="minorHAnsi"/>
        </w:rPr>
        <w:t xml:space="preserve"> </w:t>
      </w:r>
      <w:r w:rsidR="00D37A59">
        <w:rPr>
          <w:rFonts w:cstheme="minorHAnsi"/>
        </w:rPr>
        <w:t>guidance for managers on implementation.</w:t>
      </w:r>
    </w:p>
    <w:p w:rsidR="008B6A3A" w:rsidRPr="007A3C72" w:rsidRDefault="008B6A3A" w:rsidP="008B6A3A">
      <w:pPr>
        <w:jc w:val="both"/>
        <w:rPr>
          <w:rFonts w:cstheme="minorHAnsi"/>
          <w:b/>
          <w:color w:val="548DD4"/>
          <w:sz w:val="24"/>
          <w:szCs w:val="24"/>
        </w:rPr>
      </w:pPr>
      <w:r w:rsidRPr="007A3C72">
        <w:rPr>
          <w:rFonts w:cstheme="minorHAnsi"/>
          <w:b/>
          <w:color w:val="548DD4"/>
          <w:sz w:val="24"/>
          <w:szCs w:val="24"/>
        </w:rPr>
        <w:t xml:space="preserve">Regular Updates  </w:t>
      </w:r>
    </w:p>
    <w:p w:rsidR="008B6A3A" w:rsidRPr="007A3C72" w:rsidRDefault="008B6A3A" w:rsidP="008B6A3A">
      <w:pPr>
        <w:jc w:val="both"/>
        <w:rPr>
          <w:rFonts w:cstheme="minorHAnsi"/>
          <w:b/>
          <w:color w:val="548DD4"/>
        </w:rPr>
      </w:pPr>
      <w:r w:rsidRPr="007A3C72">
        <w:rPr>
          <w:rFonts w:cstheme="minorHAnsi"/>
        </w:rPr>
        <w:t>The following summary reports are submitted to each Court meeting to keep governors informed of significant matters arising between Court meetings.</w:t>
      </w:r>
    </w:p>
    <w:p w:rsidR="008B6A3A" w:rsidRDefault="008B6A3A" w:rsidP="003E6527">
      <w:pPr>
        <w:pStyle w:val="NoSpacing"/>
        <w:numPr>
          <w:ilvl w:val="0"/>
          <w:numId w:val="10"/>
        </w:numPr>
        <w:ind w:hanging="720"/>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Chair of Court’s Report</w:t>
      </w:r>
    </w:p>
    <w:p w:rsidR="008B6A3A" w:rsidRPr="008B6A3A" w:rsidRDefault="008B6A3A" w:rsidP="008B6A3A">
      <w:pPr>
        <w:pStyle w:val="NoSpacing"/>
        <w:rPr>
          <w:rFonts w:asciiTheme="minorHAnsi" w:hAnsiTheme="minorHAnsi" w:cstheme="minorHAnsi"/>
          <w:b/>
          <w:color w:val="548DD4" w:themeColor="text2" w:themeTint="99"/>
          <w:sz w:val="24"/>
          <w:szCs w:val="24"/>
        </w:rPr>
      </w:pPr>
    </w:p>
    <w:p w:rsidR="008B6A3A" w:rsidRDefault="008B6A3A" w:rsidP="003E6527">
      <w:pPr>
        <w:pStyle w:val="NoSpacing"/>
        <w:rPr>
          <w:rFonts w:cstheme="minorHAnsi"/>
        </w:rPr>
      </w:pPr>
      <w:r>
        <w:rPr>
          <w:rFonts w:cstheme="minorHAnsi"/>
        </w:rPr>
        <w:t xml:space="preserve">Court </w:t>
      </w:r>
      <w:r w:rsidR="00EA69CB">
        <w:rPr>
          <w:rFonts w:cstheme="minorHAnsi"/>
        </w:rPr>
        <w:t>received with regret</w:t>
      </w:r>
      <w:r w:rsidR="00D37A59">
        <w:rPr>
          <w:rFonts w:cstheme="minorHAnsi"/>
        </w:rPr>
        <w:t xml:space="preserve"> Mrs Mary Craig</w:t>
      </w:r>
      <w:r w:rsidR="00EA69CB">
        <w:rPr>
          <w:rFonts w:cstheme="minorHAnsi"/>
        </w:rPr>
        <w:t xml:space="preserve">’s decision </w:t>
      </w:r>
      <w:r w:rsidR="00D37A59">
        <w:rPr>
          <w:rFonts w:cstheme="minorHAnsi"/>
        </w:rPr>
        <w:t xml:space="preserve">to step down from Court </w:t>
      </w:r>
      <w:r w:rsidR="00EA69CB">
        <w:rPr>
          <w:rFonts w:cstheme="minorHAnsi"/>
        </w:rPr>
        <w:t>for personal reasons.</w:t>
      </w:r>
    </w:p>
    <w:p w:rsidR="008B6A3A" w:rsidRPr="007A3C72" w:rsidRDefault="00E061E1" w:rsidP="008B6A3A">
      <w:pPr>
        <w:pStyle w:val="NoSpacing"/>
        <w:rPr>
          <w:rFonts w:asciiTheme="minorHAnsi" w:hAnsiTheme="minorHAnsi" w:cstheme="minorHAnsi"/>
        </w:rPr>
      </w:pPr>
      <w:r>
        <w:rPr>
          <w:rFonts w:asciiTheme="minorHAnsi" w:hAnsiTheme="minorHAnsi" w:cstheme="minorHAnsi"/>
        </w:rPr>
        <w:tab/>
      </w:r>
    </w:p>
    <w:p w:rsidR="008B6A3A" w:rsidRPr="003E6527" w:rsidRDefault="008B6A3A" w:rsidP="003E6527">
      <w:pPr>
        <w:pStyle w:val="ListParagraph"/>
        <w:numPr>
          <w:ilvl w:val="0"/>
          <w:numId w:val="10"/>
        </w:numPr>
        <w:spacing w:after="0" w:line="240" w:lineRule="auto"/>
        <w:ind w:hanging="720"/>
        <w:jc w:val="both"/>
        <w:rPr>
          <w:rFonts w:cstheme="minorHAnsi"/>
          <w:b/>
          <w:color w:val="548DD4"/>
          <w:sz w:val="24"/>
          <w:szCs w:val="24"/>
        </w:rPr>
      </w:pPr>
      <w:r w:rsidRPr="003E6527">
        <w:rPr>
          <w:rFonts w:cstheme="minorHAnsi"/>
          <w:b/>
          <w:color w:val="548DD4"/>
          <w:sz w:val="24"/>
          <w:szCs w:val="24"/>
        </w:rPr>
        <w:t>Principal &amp; Vice Chancellor &amp; Executive Board Report</w:t>
      </w:r>
    </w:p>
    <w:p w:rsidR="008B6A3A" w:rsidRPr="007A3C72" w:rsidRDefault="008B6A3A" w:rsidP="008B6A3A">
      <w:pPr>
        <w:pStyle w:val="NoSpacing"/>
        <w:rPr>
          <w:rFonts w:asciiTheme="minorHAnsi" w:hAnsiTheme="minorHAnsi" w:cstheme="minorHAnsi"/>
        </w:rPr>
      </w:pPr>
    </w:p>
    <w:p w:rsidR="00D37A59" w:rsidRDefault="00254C10" w:rsidP="003E6527">
      <w:pPr>
        <w:autoSpaceDE w:val="0"/>
        <w:autoSpaceDN w:val="0"/>
        <w:adjustRightInd w:val="0"/>
        <w:jc w:val="both"/>
        <w:rPr>
          <w:rFonts w:cstheme="minorHAnsi"/>
        </w:rPr>
      </w:pPr>
      <w:r w:rsidRPr="00D26849">
        <w:rPr>
          <w:rFonts w:cstheme="minorHAnsi"/>
        </w:rPr>
        <w:t xml:space="preserve">The Principal </w:t>
      </w:r>
      <w:r w:rsidR="00E061E1">
        <w:rPr>
          <w:rFonts w:cstheme="minorHAnsi"/>
        </w:rPr>
        <w:t>informed Court</w:t>
      </w:r>
      <w:r w:rsidRPr="00D26849">
        <w:rPr>
          <w:rFonts w:cstheme="minorHAnsi"/>
        </w:rPr>
        <w:t xml:space="preserve"> that the </w:t>
      </w:r>
      <w:r w:rsidR="00D37A59" w:rsidRPr="00D87207">
        <w:rPr>
          <w:rFonts w:cstheme="minorHAnsi"/>
        </w:rPr>
        <w:t>University had not improved performance as well as</w:t>
      </w:r>
      <w:r w:rsidR="00D37A59">
        <w:rPr>
          <w:rFonts w:cstheme="minorHAnsi"/>
        </w:rPr>
        <w:t xml:space="preserve"> had been</w:t>
      </w:r>
      <w:r w:rsidR="00D37A59" w:rsidRPr="00D87207">
        <w:rPr>
          <w:rFonts w:cstheme="minorHAnsi"/>
        </w:rPr>
        <w:t xml:space="preserve"> hoped</w:t>
      </w:r>
      <w:r w:rsidR="00D37A59">
        <w:rPr>
          <w:rFonts w:cstheme="minorHAnsi"/>
        </w:rPr>
        <w:t xml:space="preserve"> for</w:t>
      </w:r>
      <w:r w:rsidR="00D37A59" w:rsidRPr="00D87207">
        <w:rPr>
          <w:rFonts w:cstheme="minorHAnsi"/>
        </w:rPr>
        <w:t xml:space="preserve"> in the Time Higher Student Experience.  There had been </w:t>
      </w:r>
      <w:r w:rsidR="00D37A59">
        <w:rPr>
          <w:rFonts w:cstheme="minorHAnsi"/>
        </w:rPr>
        <w:t>an</w:t>
      </w:r>
      <w:r w:rsidR="00D37A59" w:rsidRPr="00D87207">
        <w:rPr>
          <w:rFonts w:cstheme="minorHAnsi"/>
        </w:rPr>
        <w:t xml:space="preserve"> increase</w:t>
      </w:r>
      <w:r w:rsidR="00D37A59">
        <w:rPr>
          <w:rFonts w:cstheme="minorHAnsi"/>
        </w:rPr>
        <w:t xml:space="preserve"> of </w:t>
      </w:r>
      <w:r w:rsidR="00EA69CB">
        <w:rPr>
          <w:rFonts w:cstheme="minorHAnsi"/>
        </w:rPr>
        <w:t>only</w:t>
      </w:r>
      <w:r w:rsidR="00E061E1">
        <w:rPr>
          <w:rFonts w:cstheme="minorHAnsi"/>
        </w:rPr>
        <w:t xml:space="preserve"> </w:t>
      </w:r>
      <w:r w:rsidR="00D37A59">
        <w:rPr>
          <w:rFonts w:cstheme="minorHAnsi"/>
        </w:rPr>
        <w:t>two places</w:t>
      </w:r>
      <w:r w:rsidR="00D37A59" w:rsidRPr="00D87207">
        <w:rPr>
          <w:rFonts w:cstheme="minorHAnsi"/>
        </w:rPr>
        <w:t xml:space="preserve"> on last year’s </w:t>
      </w:r>
      <w:r w:rsidR="00D37A59">
        <w:rPr>
          <w:rFonts w:cstheme="minorHAnsi"/>
        </w:rPr>
        <w:t>survey</w:t>
      </w:r>
      <w:r w:rsidR="00EA69CB">
        <w:rPr>
          <w:rFonts w:cstheme="minorHAnsi"/>
        </w:rPr>
        <w:t>.  The</w:t>
      </w:r>
      <w:r w:rsidR="00D37A59" w:rsidRPr="00D87207">
        <w:rPr>
          <w:rFonts w:cstheme="minorHAnsi"/>
        </w:rPr>
        <w:t xml:space="preserve"> University had scored low in relation to the student union/association</w:t>
      </w:r>
      <w:r w:rsidR="00EA69CB">
        <w:rPr>
          <w:rFonts w:cstheme="minorHAnsi"/>
        </w:rPr>
        <w:t xml:space="preserve"> with</w:t>
      </w:r>
      <w:r w:rsidR="00D37A59" w:rsidRPr="00D87207">
        <w:rPr>
          <w:rFonts w:cstheme="minorHAnsi"/>
        </w:rPr>
        <w:t xml:space="preserve"> the lack of a bar or shop</w:t>
      </w:r>
      <w:r w:rsidR="00EA69CB">
        <w:rPr>
          <w:rFonts w:cstheme="minorHAnsi"/>
        </w:rPr>
        <w:t xml:space="preserve"> apparently being a factor, </w:t>
      </w:r>
      <w:r w:rsidR="00D37A59" w:rsidRPr="00D87207">
        <w:rPr>
          <w:rFonts w:cstheme="minorHAnsi"/>
        </w:rPr>
        <w:t>and student accommodation</w:t>
      </w:r>
      <w:r w:rsidR="00EA69CB">
        <w:rPr>
          <w:rFonts w:cstheme="minorHAnsi"/>
        </w:rPr>
        <w:t xml:space="preserve"> had not scored well on this occasion.  S</w:t>
      </w:r>
      <w:r w:rsidR="00D37A59" w:rsidRPr="00D87207">
        <w:rPr>
          <w:rFonts w:cstheme="minorHAnsi"/>
        </w:rPr>
        <w:t>teps would be taken to tackle these issues.  In other areas of the survey</w:t>
      </w:r>
      <w:r w:rsidR="00EA69CB">
        <w:rPr>
          <w:rFonts w:cstheme="minorHAnsi"/>
        </w:rPr>
        <w:t>,</w:t>
      </w:r>
      <w:r w:rsidR="00D37A59" w:rsidRPr="00D87207">
        <w:rPr>
          <w:rFonts w:cstheme="minorHAnsi"/>
        </w:rPr>
        <w:t xml:space="preserve"> however</w:t>
      </w:r>
      <w:r w:rsidR="00D37A59">
        <w:rPr>
          <w:rFonts w:cstheme="minorHAnsi"/>
        </w:rPr>
        <w:t xml:space="preserve">, the University performed well. </w:t>
      </w:r>
      <w:r w:rsidR="003F19C1">
        <w:rPr>
          <w:rFonts w:cstheme="minorHAnsi"/>
        </w:rPr>
        <w:t xml:space="preserve">It was </w:t>
      </w:r>
      <w:r w:rsidR="00D37A59">
        <w:rPr>
          <w:rFonts w:cstheme="minorHAnsi"/>
        </w:rPr>
        <w:t>noted that the results were based on only 100 respondents from the university</w:t>
      </w:r>
      <w:r w:rsidR="003F19C1">
        <w:rPr>
          <w:rFonts w:cstheme="minorHAnsi"/>
        </w:rPr>
        <w:t xml:space="preserve"> and the </w:t>
      </w:r>
      <w:r w:rsidR="00EA69CB">
        <w:rPr>
          <w:rFonts w:cstheme="minorHAnsi"/>
        </w:rPr>
        <w:t xml:space="preserve">survey showed </w:t>
      </w:r>
      <w:r w:rsidR="00D37A59" w:rsidRPr="00D87207">
        <w:rPr>
          <w:rFonts w:cstheme="minorHAnsi"/>
        </w:rPr>
        <w:t>major falls in ranking for several universities including others in the University Alliance and in the Russell Group.</w:t>
      </w:r>
    </w:p>
    <w:p w:rsidR="00D37A59" w:rsidRDefault="00D37A59" w:rsidP="003E6527">
      <w:pPr>
        <w:autoSpaceDE w:val="0"/>
        <w:autoSpaceDN w:val="0"/>
        <w:adjustRightInd w:val="0"/>
        <w:jc w:val="both"/>
        <w:rPr>
          <w:rFonts w:cstheme="minorHAnsi"/>
        </w:rPr>
      </w:pPr>
      <w:r>
        <w:rPr>
          <w:rFonts w:cstheme="minorHAnsi"/>
        </w:rPr>
        <w:lastRenderedPageBreak/>
        <w:t xml:space="preserve">The Chancellor, Professor Muhammad </w:t>
      </w:r>
      <w:r w:rsidR="003F19C1">
        <w:rPr>
          <w:rFonts w:cstheme="minorHAnsi"/>
        </w:rPr>
        <w:t xml:space="preserve">Yunus, had been presented with </w:t>
      </w:r>
      <w:r>
        <w:rPr>
          <w:rFonts w:cstheme="minorHAnsi"/>
        </w:rPr>
        <w:t xml:space="preserve">the </w:t>
      </w:r>
      <w:r w:rsidR="003F19C1">
        <w:rPr>
          <w:rFonts w:cstheme="minorHAnsi"/>
        </w:rPr>
        <w:t xml:space="preserve">USA </w:t>
      </w:r>
      <w:r>
        <w:rPr>
          <w:rFonts w:cstheme="minorHAnsi"/>
        </w:rPr>
        <w:t>Congressional Gold Medal on Capitol Hill, Wa</w:t>
      </w:r>
      <w:r w:rsidR="003F19C1">
        <w:rPr>
          <w:rFonts w:cstheme="minorHAnsi"/>
        </w:rPr>
        <w:t xml:space="preserve">shington and the Principal had </w:t>
      </w:r>
      <w:r>
        <w:rPr>
          <w:rFonts w:cstheme="minorHAnsi"/>
        </w:rPr>
        <w:t>attended as one of the Chancellor’s personal guests</w:t>
      </w:r>
      <w:r w:rsidR="003E6527">
        <w:rPr>
          <w:rFonts w:cstheme="minorHAnsi"/>
        </w:rPr>
        <w:t>.</w:t>
      </w:r>
    </w:p>
    <w:p w:rsidR="00D37A59" w:rsidRDefault="00E061E1" w:rsidP="003E6527">
      <w:pPr>
        <w:autoSpaceDE w:val="0"/>
        <w:autoSpaceDN w:val="0"/>
        <w:adjustRightInd w:val="0"/>
        <w:jc w:val="both"/>
        <w:rPr>
          <w:rFonts w:cstheme="minorHAnsi"/>
        </w:rPr>
      </w:pPr>
      <w:r>
        <w:rPr>
          <w:rFonts w:cstheme="minorHAnsi"/>
        </w:rPr>
        <w:t>Court noted th</w:t>
      </w:r>
      <w:r w:rsidR="00D37A59">
        <w:rPr>
          <w:rFonts w:cstheme="minorHAnsi"/>
        </w:rPr>
        <w:t>e successful conclusion of the negotiation of the contract with the Caledonian College of Engineeri</w:t>
      </w:r>
      <w:r w:rsidR="003F19C1">
        <w:rPr>
          <w:rFonts w:cstheme="minorHAnsi"/>
        </w:rPr>
        <w:t>ng, Oman for a further 5 years.</w:t>
      </w:r>
    </w:p>
    <w:p w:rsidR="00BB0E80" w:rsidRDefault="003F19C1" w:rsidP="003E6527">
      <w:pPr>
        <w:autoSpaceDE w:val="0"/>
        <w:autoSpaceDN w:val="0"/>
        <w:adjustRightInd w:val="0"/>
        <w:jc w:val="both"/>
        <w:rPr>
          <w:rFonts w:cstheme="minorHAnsi"/>
        </w:rPr>
      </w:pPr>
      <w:r>
        <w:rPr>
          <w:rFonts w:cstheme="minorHAnsi"/>
        </w:rPr>
        <w:t xml:space="preserve">Court </w:t>
      </w:r>
      <w:r w:rsidR="00A867CF">
        <w:rPr>
          <w:rFonts w:cstheme="minorHAnsi"/>
        </w:rPr>
        <w:t>was</w:t>
      </w:r>
      <w:r>
        <w:rPr>
          <w:rFonts w:cstheme="minorHAnsi"/>
        </w:rPr>
        <w:t xml:space="preserve"> informed</w:t>
      </w:r>
      <w:r w:rsidR="00D37A59">
        <w:rPr>
          <w:rFonts w:cstheme="minorHAnsi"/>
        </w:rPr>
        <w:t xml:space="preserve"> Senate had recently approved changes</w:t>
      </w:r>
      <w:r w:rsidR="00BB0E80">
        <w:rPr>
          <w:rFonts w:cstheme="minorHAnsi"/>
        </w:rPr>
        <w:t xml:space="preserve"> to the academic y</w:t>
      </w:r>
      <w:r>
        <w:rPr>
          <w:rFonts w:cstheme="minorHAnsi"/>
        </w:rPr>
        <w:t xml:space="preserve">ear </w:t>
      </w:r>
      <w:r w:rsidR="00D37A59">
        <w:rPr>
          <w:rFonts w:cstheme="minorHAnsi"/>
        </w:rPr>
        <w:t>that included moving semester 1 exams from before Christmas to January</w:t>
      </w:r>
      <w:r>
        <w:rPr>
          <w:rFonts w:cstheme="minorHAnsi"/>
        </w:rPr>
        <w:t xml:space="preserve">.  </w:t>
      </w:r>
      <w:r w:rsidR="00A867CF">
        <w:rPr>
          <w:rFonts w:cstheme="minorHAnsi"/>
        </w:rPr>
        <w:t xml:space="preserve">Some </w:t>
      </w:r>
      <w:r>
        <w:rPr>
          <w:rFonts w:cstheme="minorHAnsi"/>
        </w:rPr>
        <w:t xml:space="preserve">students were unhappy with this change, but it was noted that the decision had been made following extensive work and consultation undertaken by a working group chaired by the PVC Learning and </w:t>
      </w:r>
      <w:r w:rsidR="00A867CF">
        <w:rPr>
          <w:rFonts w:cstheme="minorHAnsi"/>
        </w:rPr>
        <w:t>Teaching</w:t>
      </w:r>
      <w:r w:rsidR="00097648">
        <w:rPr>
          <w:rFonts w:cstheme="minorHAnsi"/>
        </w:rPr>
        <w:t>, and including the Student President</w:t>
      </w:r>
      <w:r w:rsidR="00A867CF">
        <w:rPr>
          <w:rFonts w:cstheme="minorHAnsi"/>
        </w:rPr>
        <w:t>.</w:t>
      </w:r>
    </w:p>
    <w:p w:rsidR="00254C10" w:rsidRPr="000B24C2" w:rsidRDefault="00A867CF" w:rsidP="003E6527">
      <w:pPr>
        <w:autoSpaceDE w:val="0"/>
        <w:autoSpaceDN w:val="0"/>
        <w:adjustRightInd w:val="0"/>
        <w:jc w:val="both"/>
        <w:rPr>
          <w:rFonts w:cstheme="minorHAnsi"/>
        </w:rPr>
      </w:pPr>
      <w:r>
        <w:rPr>
          <w:rFonts w:cstheme="minorHAnsi"/>
        </w:rPr>
        <w:t xml:space="preserve">  </w:t>
      </w:r>
    </w:p>
    <w:p w:rsidR="00D37A59" w:rsidRPr="007A3C72" w:rsidRDefault="00D37A59" w:rsidP="00D37A59">
      <w:pPr>
        <w:pStyle w:val="NoSpacing"/>
        <w:rPr>
          <w:rFonts w:asciiTheme="minorHAnsi" w:hAnsiTheme="minorHAnsi" w:cstheme="minorHAnsi"/>
        </w:rPr>
      </w:pPr>
    </w:p>
    <w:p w:rsidR="00D37A59" w:rsidRPr="003E6527" w:rsidRDefault="00D37A59" w:rsidP="003E6527">
      <w:pPr>
        <w:pStyle w:val="ListParagraph"/>
        <w:numPr>
          <w:ilvl w:val="0"/>
          <w:numId w:val="10"/>
        </w:numPr>
        <w:spacing w:after="0" w:line="240" w:lineRule="auto"/>
        <w:ind w:hanging="720"/>
        <w:jc w:val="both"/>
        <w:rPr>
          <w:rFonts w:cstheme="minorHAnsi"/>
          <w:b/>
          <w:color w:val="548DD4"/>
          <w:sz w:val="24"/>
          <w:szCs w:val="24"/>
        </w:rPr>
      </w:pPr>
      <w:r w:rsidRPr="003E6527">
        <w:rPr>
          <w:rFonts w:cstheme="minorHAnsi"/>
          <w:b/>
          <w:color w:val="548DD4"/>
          <w:sz w:val="24"/>
          <w:szCs w:val="24"/>
        </w:rPr>
        <w:t>University Secretary’s Report</w:t>
      </w:r>
    </w:p>
    <w:p w:rsidR="00D37A59" w:rsidRPr="007A3C72" w:rsidRDefault="00D37A59" w:rsidP="00D37A59">
      <w:pPr>
        <w:pStyle w:val="ListParagraph"/>
        <w:spacing w:after="0" w:line="240" w:lineRule="auto"/>
        <w:jc w:val="both"/>
        <w:rPr>
          <w:rFonts w:cstheme="minorHAnsi"/>
          <w:b/>
          <w:color w:val="548DD4"/>
          <w:sz w:val="24"/>
          <w:szCs w:val="24"/>
        </w:rPr>
      </w:pPr>
    </w:p>
    <w:p w:rsidR="00D37A59" w:rsidRPr="00D37A59" w:rsidRDefault="00D37A59" w:rsidP="00D37A59">
      <w:pPr>
        <w:rPr>
          <w:rFonts w:cstheme="minorHAnsi"/>
        </w:rPr>
      </w:pPr>
      <w:r>
        <w:rPr>
          <w:rFonts w:cstheme="minorHAnsi"/>
        </w:rPr>
        <w:t>Court w</w:t>
      </w:r>
      <w:r w:rsidR="00A867CF">
        <w:rPr>
          <w:rFonts w:cstheme="minorHAnsi"/>
        </w:rPr>
        <w:t>as</w:t>
      </w:r>
      <w:r>
        <w:rPr>
          <w:rFonts w:cstheme="minorHAnsi"/>
        </w:rPr>
        <w:t xml:space="preserve"> </w:t>
      </w:r>
      <w:r w:rsidR="008D18B4">
        <w:rPr>
          <w:rFonts w:cstheme="minorHAnsi"/>
        </w:rPr>
        <w:t xml:space="preserve">informed </w:t>
      </w:r>
      <w:r w:rsidR="00A867CF">
        <w:rPr>
          <w:rFonts w:cstheme="minorHAnsi"/>
        </w:rPr>
        <w:t xml:space="preserve">that the University had received confirmation </w:t>
      </w:r>
      <w:r>
        <w:rPr>
          <w:rFonts w:cstheme="minorHAnsi"/>
        </w:rPr>
        <w:t>from the Home Office, of the re</w:t>
      </w:r>
      <w:r w:rsidR="00A867CF">
        <w:rPr>
          <w:rFonts w:cstheme="minorHAnsi"/>
        </w:rPr>
        <w:t>-</w:t>
      </w:r>
      <w:r>
        <w:rPr>
          <w:rFonts w:cstheme="minorHAnsi"/>
        </w:rPr>
        <w:t>approval of the University’s Tier 4 licence for the period up to the end of March 2017, assuming regulatory observance</w:t>
      </w:r>
      <w:r w:rsidR="00A867CF">
        <w:rPr>
          <w:rFonts w:cstheme="minorHAnsi"/>
        </w:rPr>
        <w:t>.</w:t>
      </w:r>
    </w:p>
    <w:p w:rsidR="002A5A72" w:rsidRPr="002A5A72" w:rsidRDefault="002A5A72" w:rsidP="002A5A72">
      <w:pPr>
        <w:rPr>
          <w:rFonts w:cstheme="minorHAnsi"/>
        </w:rPr>
      </w:pPr>
    </w:p>
    <w:p w:rsidR="008B6A3A" w:rsidRPr="003E6527" w:rsidRDefault="008B6A3A" w:rsidP="003E6527">
      <w:pPr>
        <w:pStyle w:val="ListParagraph"/>
        <w:numPr>
          <w:ilvl w:val="0"/>
          <w:numId w:val="10"/>
        </w:numPr>
        <w:spacing w:after="0" w:line="240" w:lineRule="auto"/>
        <w:ind w:hanging="720"/>
        <w:jc w:val="both"/>
        <w:rPr>
          <w:rFonts w:cstheme="minorHAnsi"/>
          <w:b/>
          <w:color w:val="548DD4"/>
          <w:sz w:val="24"/>
          <w:szCs w:val="24"/>
        </w:rPr>
      </w:pPr>
      <w:r w:rsidRPr="003E6527">
        <w:rPr>
          <w:rFonts w:cstheme="minorHAnsi"/>
          <w:b/>
          <w:color w:val="548DD4"/>
          <w:sz w:val="24"/>
          <w:szCs w:val="24"/>
        </w:rPr>
        <w:t>Reports from Court Standing Committees</w:t>
      </w:r>
    </w:p>
    <w:p w:rsidR="008B6A3A" w:rsidRPr="007A3C72" w:rsidRDefault="008B6A3A" w:rsidP="008B6A3A">
      <w:pPr>
        <w:pStyle w:val="NoSpacing"/>
        <w:jc w:val="both"/>
        <w:rPr>
          <w:rFonts w:asciiTheme="minorHAnsi" w:hAnsiTheme="minorHAnsi" w:cstheme="minorHAnsi"/>
        </w:rPr>
      </w:pPr>
    </w:p>
    <w:p w:rsidR="008B6A3A" w:rsidRPr="007A3C72" w:rsidRDefault="008B6A3A" w:rsidP="008B6A3A">
      <w:pPr>
        <w:jc w:val="both"/>
        <w:rPr>
          <w:rFonts w:cstheme="minorHAnsi"/>
        </w:rPr>
      </w:pPr>
      <w:r w:rsidRPr="007A3C72">
        <w:rPr>
          <w:rFonts w:cstheme="minorHAnsi"/>
        </w:rPr>
        <w:t xml:space="preserve">Court noted reports from the </w:t>
      </w:r>
      <w:r>
        <w:rPr>
          <w:rFonts w:cstheme="minorHAnsi"/>
        </w:rPr>
        <w:t>Court Membership Committee, the Staff Policy Committee, the Finance and General Purposes Committee, and the Audit Committee on issues discussed since the last Court meeting.</w:t>
      </w:r>
    </w:p>
    <w:p w:rsidR="008B6A3A" w:rsidRPr="007A3C72" w:rsidRDefault="008B6A3A" w:rsidP="008B6A3A">
      <w:pPr>
        <w:pStyle w:val="NoSpacing"/>
        <w:jc w:val="both"/>
        <w:rPr>
          <w:rFonts w:asciiTheme="minorHAnsi" w:hAnsiTheme="minorHAnsi" w:cstheme="minorHAnsi"/>
        </w:rPr>
      </w:pPr>
    </w:p>
    <w:p w:rsidR="008B6A3A" w:rsidRPr="007A3C72" w:rsidRDefault="008B6A3A" w:rsidP="008B6A3A">
      <w:pPr>
        <w:pStyle w:val="NoSpacing"/>
        <w:jc w:val="both"/>
        <w:rPr>
          <w:rFonts w:asciiTheme="minorHAnsi" w:hAnsiTheme="minorHAnsi" w:cstheme="minorHAnsi"/>
        </w:rPr>
      </w:pPr>
      <w:r w:rsidRPr="007A3C72">
        <w:rPr>
          <w:rFonts w:asciiTheme="minorHAnsi" w:hAnsiTheme="minorHAnsi" w:cstheme="minorHAnsi"/>
        </w:rPr>
        <w:t>Tony Brian</w:t>
      </w:r>
    </w:p>
    <w:p w:rsidR="008B6A3A" w:rsidRPr="007A3C72" w:rsidRDefault="008B6A3A" w:rsidP="008B6A3A">
      <w:pPr>
        <w:pStyle w:val="NoSpacing"/>
        <w:jc w:val="both"/>
        <w:rPr>
          <w:rFonts w:asciiTheme="minorHAnsi" w:hAnsiTheme="minorHAnsi" w:cstheme="minorHAnsi"/>
        </w:rPr>
      </w:pPr>
      <w:r w:rsidRPr="007A3C72">
        <w:rPr>
          <w:rFonts w:asciiTheme="minorHAnsi" w:hAnsiTheme="minorHAnsi" w:cstheme="minorHAnsi"/>
        </w:rPr>
        <w:t>Chair of Court</w:t>
      </w:r>
    </w:p>
    <w:p w:rsidR="008B6A3A" w:rsidRDefault="008B6A3A" w:rsidP="00D26849">
      <w:pPr>
        <w:contextualSpacing/>
        <w:rPr>
          <w:b/>
        </w:rPr>
      </w:pPr>
    </w:p>
    <w:sectPr w:rsidR="008B6A3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DDC" w:rsidRDefault="00F31DDC" w:rsidP="00A4471D">
      <w:pPr>
        <w:spacing w:after="0" w:line="240" w:lineRule="auto"/>
      </w:pPr>
      <w:r>
        <w:separator/>
      </w:r>
    </w:p>
  </w:endnote>
  <w:endnote w:type="continuationSeparator" w:id="0">
    <w:p w:rsidR="00F31DDC" w:rsidRDefault="00F31DDC" w:rsidP="00A4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22783"/>
      <w:docPartObj>
        <w:docPartGallery w:val="Page Numbers (Bottom of Page)"/>
        <w:docPartUnique/>
      </w:docPartObj>
    </w:sdtPr>
    <w:sdtEndPr>
      <w:rPr>
        <w:noProof/>
      </w:rPr>
    </w:sdtEndPr>
    <w:sdtContent>
      <w:p w:rsidR="005D0680" w:rsidRDefault="005D0680">
        <w:pPr>
          <w:pStyle w:val="Footer"/>
          <w:jc w:val="center"/>
        </w:pPr>
        <w:r>
          <w:fldChar w:fldCharType="begin"/>
        </w:r>
        <w:r>
          <w:instrText xml:space="preserve"> PAGE   \* MERGEFORMAT </w:instrText>
        </w:r>
        <w:r>
          <w:fldChar w:fldCharType="separate"/>
        </w:r>
        <w:r w:rsidR="00BD1176">
          <w:rPr>
            <w:noProof/>
          </w:rPr>
          <w:t>3</w:t>
        </w:r>
        <w:r>
          <w:rPr>
            <w:noProof/>
          </w:rPr>
          <w:fldChar w:fldCharType="end"/>
        </w:r>
      </w:p>
    </w:sdtContent>
  </w:sdt>
  <w:p w:rsidR="005D0680" w:rsidRDefault="005D0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DDC" w:rsidRDefault="00F31DDC" w:rsidP="00A4471D">
      <w:pPr>
        <w:spacing w:after="0" w:line="240" w:lineRule="auto"/>
      </w:pPr>
      <w:r>
        <w:separator/>
      </w:r>
    </w:p>
  </w:footnote>
  <w:footnote w:type="continuationSeparator" w:id="0">
    <w:p w:rsidR="00F31DDC" w:rsidRDefault="00F31DDC" w:rsidP="00A44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396"/>
    <w:multiLevelType w:val="hybridMultilevel"/>
    <w:tmpl w:val="2890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F0B12"/>
    <w:multiLevelType w:val="hybridMultilevel"/>
    <w:tmpl w:val="1D42DDD6"/>
    <w:lvl w:ilvl="0" w:tplc="52B8B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523A49"/>
    <w:multiLevelType w:val="hybridMultilevel"/>
    <w:tmpl w:val="C19C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F954D01"/>
    <w:multiLevelType w:val="hybridMultilevel"/>
    <w:tmpl w:val="2EEC8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E876B3"/>
    <w:multiLevelType w:val="hybridMultilevel"/>
    <w:tmpl w:val="A984AE8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5">
    <w:nsid w:val="5A727EC3"/>
    <w:multiLevelType w:val="hybridMultilevel"/>
    <w:tmpl w:val="C942A6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F1F6BB3"/>
    <w:multiLevelType w:val="hybridMultilevel"/>
    <w:tmpl w:val="6D1C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DE95C7D"/>
    <w:multiLevelType w:val="hybridMultilevel"/>
    <w:tmpl w:val="092C2B0C"/>
    <w:lvl w:ilvl="0" w:tplc="FC12CAD6">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D81C20"/>
    <w:multiLevelType w:val="hybridMultilevel"/>
    <w:tmpl w:val="FB8C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CA75DDF"/>
    <w:multiLevelType w:val="hybridMultilevel"/>
    <w:tmpl w:val="FB3CC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5"/>
  </w:num>
  <w:num w:numId="6">
    <w:abstractNumId w:val="9"/>
  </w:num>
  <w:num w:numId="7">
    <w:abstractNumId w:val="8"/>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49"/>
    <w:rsid w:val="00012C74"/>
    <w:rsid w:val="0002192D"/>
    <w:rsid w:val="00097648"/>
    <w:rsid w:val="000B24C2"/>
    <w:rsid w:val="000C06CA"/>
    <w:rsid w:val="000D7EBC"/>
    <w:rsid w:val="001E1102"/>
    <w:rsid w:val="001E44A3"/>
    <w:rsid w:val="00254C10"/>
    <w:rsid w:val="00271873"/>
    <w:rsid w:val="002A5A72"/>
    <w:rsid w:val="003313C9"/>
    <w:rsid w:val="003B3519"/>
    <w:rsid w:val="003D196F"/>
    <w:rsid w:val="003E6527"/>
    <w:rsid w:val="003F19C1"/>
    <w:rsid w:val="00425500"/>
    <w:rsid w:val="00445B54"/>
    <w:rsid w:val="00476E50"/>
    <w:rsid w:val="00554A8D"/>
    <w:rsid w:val="005556F5"/>
    <w:rsid w:val="005571C6"/>
    <w:rsid w:val="00577952"/>
    <w:rsid w:val="005D0680"/>
    <w:rsid w:val="00664DE0"/>
    <w:rsid w:val="008430B4"/>
    <w:rsid w:val="0086086C"/>
    <w:rsid w:val="008B6A3A"/>
    <w:rsid w:val="008D18B4"/>
    <w:rsid w:val="009153BC"/>
    <w:rsid w:val="009A5C9E"/>
    <w:rsid w:val="00A4471D"/>
    <w:rsid w:val="00A867CF"/>
    <w:rsid w:val="00AB2933"/>
    <w:rsid w:val="00B73E3A"/>
    <w:rsid w:val="00B81AD2"/>
    <w:rsid w:val="00BA653E"/>
    <w:rsid w:val="00BB0E80"/>
    <w:rsid w:val="00BD1176"/>
    <w:rsid w:val="00C03958"/>
    <w:rsid w:val="00CA41C8"/>
    <w:rsid w:val="00D25654"/>
    <w:rsid w:val="00D26849"/>
    <w:rsid w:val="00D37A59"/>
    <w:rsid w:val="00D502A3"/>
    <w:rsid w:val="00DA05E8"/>
    <w:rsid w:val="00E061E1"/>
    <w:rsid w:val="00E30EB5"/>
    <w:rsid w:val="00E7132E"/>
    <w:rsid w:val="00E91BF5"/>
    <w:rsid w:val="00EA69CB"/>
    <w:rsid w:val="00EB006B"/>
    <w:rsid w:val="00ED22C7"/>
    <w:rsid w:val="00F31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49"/>
    <w:pPr>
      <w:ind w:left="720"/>
      <w:contextualSpacing/>
    </w:pPr>
  </w:style>
  <w:style w:type="paragraph" w:styleId="NoSpacing">
    <w:name w:val="No Spacing"/>
    <w:uiPriority w:val="1"/>
    <w:qFormat/>
    <w:rsid w:val="00D268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4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1D"/>
  </w:style>
  <w:style w:type="paragraph" w:styleId="Footer">
    <w:name w:val="footer"/>
    <w:basedOn w:val="Normal"/>
    <w:link w:val="FooterChar"/>
    <w:uiPriority w:val="99"/>
    <w:unhideWhenUsed/>
    <w:rsid w:val="00A4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1D"/>
  </w:style>
  <w:style w:type="paragraph" w:styleId="BalloonText">
    <w:name w:val="Balloon Text"/>
    <w:basedOn w:val="Normal"/>
    <w:link w:val="BalloonTextChar"/>
    <w:uiPriority w:val="99"/>
    <w:semiHidden/>
    <w:unhideWhenUsed/>
    <w:rsid w:val="00A4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49"/>
    <w:pPr>
      <w:ind w:left="720"/>
      <w:contextualSpacing/>
    </w:pPr>
  </w:style>
  <w:style w:type="paragraph" w:styleId="NoSpacing">
    <w:name w:val="No Spacing"/>
    <w:uiPriority w:val="1"/>
    <w:qFormat/>
    <w:rsid w:val="00D268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4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1D"/>
  </w:style>
  <w:style w:type="paragraph" w:styleId="Footer">
    <w:name w:val="footer"/>
    <w:basedOn w:val="Normal"/>
    <w:link w:val="FooterChar"/>
    <w:uiPriority w:val="99"/>
    <w:unhideWhenUsed/>
    <w:rsid w:val="00A4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1D"/>
  </w:style>
  <w:style w:type="paragraph" w:styleId="BalloonText">
    <w:name w:val="Balloon Text"/>
    <w:basedOn w:val="Normal"/>
    <w:link w:val="BalloonTextChar"/>
    <w:uiPriority w:val="99"/>
    <w:semiHidden/>
    <w:unhideWhenUsed/>
    <w:rsid w:val="00A4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F760-85CD-45E4-BF8F-EC1C2852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2013-05-15T14:27:00Z</cp:lastPrinted>
  <dcterms:created xsi:type="dcterms:W3CDTF">2013-05-22T14:38:00Z</dcterms:created>
  <dcterms:modified xsi:type="dcterms:W3CDTF">2013-05-22T14:38:00Z</dcterms:modified>
</cp:coreProperties>
</file>