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96" w:rsidRDefault="00016384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This document is an extract from the USHA Guidance on Health and Safety of Placement (</w:t>
      </w:r>
      <w:r w:rsidR="00D14696" w:rsidRPr="00D14696">
        <w:rPr>
          <w:rFonts w:cstheme="minorHAnsi"/>
          <w:b/>
          <w:bCs/>
          <w:sz w:val="24"/>
          <w:szCs w:val="24"/>
        </w:rPr>
        <w:t>Appendix C: Insurance</w:t>
      </w:r>
      <w:r>
        <w:rPr>
          <w:rFonts w:cstheme="minorHAnsi"/>
          <w:b/>
          <w:bCs/>
          <w:sz w:val="24"/>
          <w:szCs w:val="24"/>
        </w:rPr>
        <w:t xml:space="preserve">). The full guidance document can be found on the Student Placement section of the </w:t>
      </w:r>
      <w:hyperlink r:id="rId7" w:history="1">
        <w:r w:rsidRPr="00016384">
          <w:rPr>
            <w:rStyle w:val="Hyperlink"/>
            <w:rFonts w:cstheme="minorHAnsi"/>
            <w:b/>
            <w:bCs/>
            <w:sz w:val="24"/>
            <w:szCs w:val="24"/>
          </w:rPr>
          <w:t>Health and Safety website</w:t>
        </w:r>
      </w:hyperlink>
      <w:r>
        <w:rPr>
          <w:rFonts w:cstheme="minorHAnsi"/>
          <w:b/>
          <w:bCs/>
          <w:sz w:val="24"/>
          <w:szCs w:val="24"/>
        </w:rPr>
        <w:t>.</w:t>
      </w:r>
    </w:p>
    <w:p w:rsidR="00016384" w:rsidRPr="00D14696" w:rsidRDefault="00016384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b/>
          <w:bCs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b/>
          <w:bCs/>
          <w:sz w:val="24"/>
          <w:szCs w:val="24"/>
        </w:rPr>
      </w:pPr>
      <w:r w:rsidRPr="00D14696">
        <w:rPr>
          <w:rFonts w:cstheme="minorHAnsi"/>
          <w:b/>
          <w:bCs/>
          <w:sz w:val="24"/>
          <w:szCs w:val="24"/>
        </w:rPr>
        <w:t>Insurance: General introduction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Insurance needs to be considered from the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various perspectives of what could go wrong</w:t>
      </w:r>
    </w:p>
    <w:p w:rsid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and who can be adversely affected. This section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provides a brief summary of generally available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insurance cover that is particularly relevant to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student placements.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Exact insurance requirements and policy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caveats that will vary between institutions so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each HEI should work with their insurers to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ensure it has appropriate cover for its activities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and provide clear guidance internally on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policies held by the HEI including any important</w:t>
      </w:r>
    </w:p>
    <w:p w:rsid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caveats and also those policies required by the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provider / student.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The table below summarises the main types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of relevant insurance policies particularly</w:t>
      </w:r>
    </w:p>
    <w:p w:rsidR="00E44DB3" w:rsidRPr="00D14696" w:rsidRDefault="00D14696" w:rsidP="00D14696">
      <w:pPr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relevant to placements</w:t>
      </w:r>
      <w:r w:rsidRPr="00D14696">
        <w:rPr>
          <w:rFonts w:cstheme="minorHAnsi"/>
          <w:sz w:val="24"/>
          <w:szCs w:val="24"/>
        </w:rPr>
        <w:t>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b/>
          <w:bCs/>
          <w:color w:val="FFFFFF"/>
          <w:sz w:val="24"/>
          <w:szCs w:val="24"/>
        </w:rPr>
      </w:pPr>
      <w:proofErr w:type="spellStart"/>
      <w:r w:rsidRPr="00D14696">
        <w:rPr>
          <w:rFonts w:cstheme="minorHAnsi"/>
          <w:b/>
          <w:bCs/>
          <w:color w:val="FFFFFF"/>
          <w:sz w:val="24"/>
          <w:szCs w:val="24"/>
        </w:rPr>
        <w:t>ype</w:t>
      </w:r>
      <w:proofErr w:type="spellEnd"/>
      <w:r w:rsidRPr="00D14696">
        <w:rPr>
          <w:rFonts w:cstheme="minorHAnsi"/>
          <w:b/>
          <w:bCs/>
          <w:color w:val="FFFFFF"/>
          <w:sz w:val="24"/>
          <w:szCs w:val="24"/>
        </w:rPr>
        <w:t xml:space="preserve"> of Cove Explanation of Cover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265"/>
        <w:gridCol w:w="7941"/>
      </w:tblGrid>
      <w:tr w:rsidR="00D14696" w:rsidRPr="00D14696" w:rsidTr="00016384">
        <w:tc>
          <w:tcPr>
            <w:tcW w:w="2265" w:type="dxa"/>
            <w:shd w:val="clear" w:color="auto" w:fill="B8CCE4" w:themeFill="accent1" w:themeFillTint="66"/>
          </w:tcPr>
          <w:p w:rsidR="00D14696" w:rsidRPr="00D14696" w:rsidRDefault="00D14696" w:rsidP="00D14696">
            <w:pPr>
              <w:autoSpaceDE w:val="0"/>
              <w:autoSpaceDN w:val="0"/>
              <w:adjustRightInd w:val="0"/>
              <w:ind w:left="39" w:right="-330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D1469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Type of Cover</w:t>
            </w:r>
          </w:p>
        </w:tc>
        <w:tc>
          <w:tcPr>
            <w:tcW w:w="7941" w:type="dxa"/>
            <w:shd w:val="clear" w:color="auto" w:fill="B8CCE4" w:themeFill="accent1" w:themeFillTint="66"/>
          </w:tcPr>
          <w:p w:rsidR="00D14696" w:rsidRDefault="00D14696" w:rsidP="00016384">
            <w:pPr>
              <w:autoSpaceDE w:val="0"/>
              <w:autoSpaceDN w:val="0"/>
              <w:adjustRightInd w:val="0"/>
              <w:ind w:left="44" w:right="17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Explanation of Cover</w:t>
            </w:r>
          </w:p>
          <w:p w:rsidR="00016384" w:rsidRPr="00D14696" w:rsidRDefault="00016384" w:rsidP="00016384">
            <w:pPr>
              <w:autoSpaceDE w:val="0"/>
              <w:autoSpaceDN w:val="0"/>
              <w:adjustRightInd w:val="0"/>
              <w:ind w:left="44" w:right="17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4696" w:rsidRPr="00D14696" w:rsidTr="00016384">
        <w:tc>
          <w:tcPr>
            <w:tcW w:w="2265" w:type="dxa"/>
          </w:tcPr>
          <w:p w:rsidR="00D14696" w:rsidRPr="00D14696" w:rsidRDefault="00D14696" w:rsidP="00D14696">
            <w:pPr>
              <w:autoSpaceDE w:val="0"/>
              <w:autoSpaceDN w:val="0"/>
              <w:adjustRightInd w:val="0"/>
              <w:ind w:left="39" w:right="-330"/>
              <w:rPr>
                <w:rFonts w:cstheme="minorHAnsi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Employers’</w:t>
            </w:r>
          </w:p>
          <w:p w:rsidR="00D14696" w:rsidRPr="00D14696" w:rsidRDefault="00D14696" w:rsidP="00D14696">
            <w:pPr>
              <w:autoSpaceDE w:val="0"/>
              <w:autoSpaceDN w:val="0"/>
              <w:adjustRightInd w:val="0"/>
              <w:ind w:left="39" w:right="-33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Liability (EL)</w:t>
            </w:r>
          </w:p>
        </w:tc>
        <w:tc>
          <w:tcPr>
            <w:tcW w:w="7941" w:type="dxa"/>
          </w:tcPr>
          <w:p w:rsidR="00D14696" w:rsidRPr="00D14696" w:rsidRDefault="00D14696" w:rsidP="00016384">
            <w:pPr>
              <w:autoSpaceDE w:val="0"/>
              <w:autoSpaceDN w:val="0"/>
              <w:adjustRightInd w:val="0"/>
              <w:ind w:left="44" w:right="170"/>
              <w:rPr>
                <w:rFonts w:cstheme="minorHAnsi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Held by UK placement provider and meets the cost of compensation</w:t>
            </w:r>
          </w:p>
          <w:p w:rsidR="00D14696" w:rsidRPr="00D14696" w:rsidRDefault="00D14696" w:rsidP="00016384">
            <w:pPr>
              <w:autoSpaceDE w:val="0"/>
              <w:autoSpaceDN w:val="0"/>
              <w:adjustRightInd w:val="0"/>
              <w:ind w:left="44" w:right="170"/>
              <w:rPr>
                <w:rFonts w:cstheme="minorHAnsi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for employees’ injuries or illness whether they are caused on or off site</w:t>
            </w:r>
          </w:p>
          <w:p w:rsidR="00D14696" w:rsidRPr="00D14696" w:rsidRDefault="00D14696" w:rsidP="00016384">
            <w:pPr>
              <w:autoSpaceDE w:val="0"/>
              <w:autoSpaceDN w:val="0"/>
              <w:adjustRightInd w:val="0"/>
              <w:ind w:left="44" w:right="17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following negligence by the employer.</w:t>
            </w:r>
          </w:p>
        </w:tc>
      </w:tr>
      <w:tr w:rsidR="00D14696" w:rsidRPr="00D14696" w:rsidTr="00016384">
        <w:tc>
          <w:tcPr>
            <w:tcW w:w="2265" w:type="dxa"/>
          </w:tcPr>
          <w:p w:rsidR="00D14696" w:rsidRPr="00D14696" w:rsidRDefault="00D14696" w:rsidP="00D14696">
            <w:pPr>
              <w:autoSpaceDE w:val="0"/>
              <w:autoSpaceDN w:val="0"/>
              <w:adjustRightInd w:val="0"/>
              <w:ind w:left="39" w:right="-330"/>
              <w:rPr>
                <w:rFonts w:cstheme="minorHAnsi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Public</w:t>
            </w:r>
          </w:p>
          <w:p w:rsidR="00D14696" w:rsidRPr="00D14696" w:rsidRDefault="00D14696" w:rsidP="00D14696">
            <w:pPr>
              <w:autoSpaceDE w:val="0"/>
              <w:autoSpaceDN w:val="0"/>
              <w:adjustRightInd w:val="0"/>
              <w:ind w:left="39" w:right="-33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Liability (PL)</w:t>
            </w:r>
          </w:p>
        </w:tc>
        <w:tc>
          <w:tcPr>
            <w:tcW w:w="7941" w:type="dxa"/>
          </w:tcPr>
          <w:p w:rsidR="00D14696" w:rsidRPr="00D14696" w:rsidRDefault="00D14696" w:rsidP="00016384">
            <w:pPr>
              <w:autoSpaceDE w:val="0"/>
              <w:autoSpaceDN w:val="0"/>
              <w:adjustRightInd w:val="0"/>
              <w:ind w:left="44" w:right="17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Held by placement provider this insurance covers the cost of claims made by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members of the public for incidents that occur in connection with business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activities. Public liability insurance covers the cost of compensation for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personal injuries, loss of or damage to property.</w:t>
            </w:r>
          </w:p>
        </w:tc>
      </w:tr>
      <w:tr w:rsidR="00D14696" w:rsidRPr="00D14696" w:rsidTr="00016384">
        <w:tc>
          <w:tcPr>
            <w:tcW w:w="2265" w:type="dxa"/>
          </w:tcPr>
          <w:p w:rsidR="00D14696" w:rsidRPr="00D14696" w:rsidRDefault="00D14696" w:rsidP="00D14696">
            <w:pPr>
              <w:autoSpaceDE w:val="0"/>
              <w:autoSpaceDN w:val="0"/>
              <w:adjustRightInd w:val="0"/>
              <w:ind w:left="39" w:right="-330"/>
              <w:rPr>
                <w:rFonts w:cstheme="minorHAnsi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Personal</w:t>
            </w:r>
          </w:p>
          <w:p w:rsidR="00D14696" w:rsidRPr="00D14696" w:rsidRDefault="00D14696" w:rsidP="00D14696">
            <w:pPr>
              <w:autoSpaceDE w:val="0"/>
              <w:autoSpaceDN w:val="0"/>
              <w:adjustRightInd w:val="0"/>
              <w:ind w:left="39" w:right="-33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Accident (PA)</w:t>
            </w:r>
          </w:p>
        </w:tc>
        <w:tc>
          <w:tcPr>
            <w:tcW w:w="7941" w:type="dxa"/>
          </w:tcPr>
          <w:p w:rsidR="00D14696" w:rsidRPr="00D14696" w:rsidRDefault="00D14696" w:rsidP="00016384">
            <w:pPr>
              <w:autoSpaceDE w:val="0"/>
              <w:autoSpaceDN w:val="0"/>
              <w:adjustRightInd w:val="0"/>
              <w:ind w:left="44" w:right="17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This personal insurance is an annual policy which provides compensation in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the event of injuries, disability or death caused solely by violent, accidental,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external and visible events.</w:t>
            </w:r>
          </w:p>
        </w:tc>
      </w:tr>
      <w:tr w:rsidR="00D14696" w:rsidRPr="00D14696" w:rsidTr="00016384">
        <w:tc>
          <w:tcPr>
            <w:tcW w:w="2265" w:type="dxa"/>
          </w:tcPr>
          <w:p w:rsidR="00D14696" w:rsidRPr="00D14696" w:rsidRDefault="00D14696" w:rsidP="00D14696">
            <w:pPr>
              <w:autoSpaceDE w:val="0"/>
              <w:autoSpaceDN w:val="0"/>
              <w:adjustRightInd w:val="0"/>
              <w:ind w:left="39" w:right="-330"/>
              <w:rPr>
                <w:rFonts w:cstheme="minorHAnsi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Workers’</w:t>
            </w:r>
          </w:p>
          <w:p w:rsidR="00D14696" w:rsidRPr="00D14696" w:rsidRDefault="00D14696" w:rsidP="00D14696">
            <w:pPr>
              <w:autoSpaceDE w:val="0"/>
              <w:autoSpaceDN w:val="0"/>
              <w:adjustRightInd w:val="0"/>
              <w:ind w:left="39" w:right="-330"/>
              <w:rPr>
                <w:rFonts w:cstheme="minorHAnsi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Compensation</w:t>
            </w:r>
          </w:p>
          <w:p w:rsidR="00D14696" w:rsidRPr="00D14696" w:rsidRDefault="00D14696" w:rsidP="00D14696">
            <w:pPr>
              <w:autoSpaceDE w:val="0"/>
              <w:autoSpaceDN w:val="0"/>
              <w:adjustRightInd w:val="0"/>
              <w:ind w:left="39" w:right="-33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(WC)</w:t>
            </w:r>
          </w:p>
        </w:tc>
        <w:tc>
          <w:tcPr>
            <w:tcW w:w="7941" w:type="dxa"/>
          </w:tcPr>
          <w:p w:rsidR="00D14696" w:rsidRPr="00D14696" w:rsidRDefault="00D14696" w:rsidP="00016384">
            <w:pPr>
              <w:autoSpaceDE w:val="0"/>
              <w:autoSpaceDN w:val="0"/>
              <w:adjustRightInd w:val="0"/>
              <w:ind w:left="44" w:right="170"/>
              <w:rPr>
                <w:rFonts w:cstheme="minorHAnsi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Workers’ compensation may be held by the placement provider, it is a</w:t>
            </w:r>
          </w:p>
          <w:p w:rsidR="00D14696" w:rsidRPr="00D14696" w:rsidRDefault="00D14696" w:rsidP="00016384">
            <w:pPr>
              <w:autoSpaceDE w:val="0"/>
              <w:autoSpaceDN w:val="0"/>
              <w:adjustRightInd w:val="0"/>
              <w:ind w:left="44" w:right="170"/>
              <w:rPr>
                <w:rFonts w:cstheme="minorHAnsi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form of insurance providing wage replacement and medical benefits to</w:t>
            </w:r>
          </w:p>
          <w:p w:rsidR="00D14696" w:rsidRPr="00D14696" w:rsidRDefault="00D14696" w:rsidP="00016384">
            <w:pPr>
              <w:autoSpaceDE w:val="0"/>
              <w:autoSpaceDN w:val="0"/>
              <w:adjustRightInd w:val="0"/>
              <w:ind w:left="44" w:right="17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employees injured in the course of employment in exchange for mandatory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relinquishment of the employee’s right to sue his or her employer for the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tort of negligence.</w:t>
            </w:r>
          </w:p>
        </w:tc>
      </w:tr>
      <w:tr w:rsidR="00D14696" w:rsidRPr="00D14696" w:rsidTr="00016384">
        <w:tc>
          <w:tcPr>
            <w:tcW w:w="2265" w:type="dxa"/>
          </w:tcPr>
          <w:p w:rsidR="00D14696" w:rsidRPr="00D14696" w:rsidRDefault="00D14696" w:rsidP="00D14696">
            <w:pPr>
              <w:autoSpaceDE w:val="0"/>
              <w:autoSpaceDN w:val="0"/>
              <w:adjustRightInd w:val="0"/>
              <w:ind w:left="39" w:right="-330"/>
              <w:rPr>
                <w:rFonts w:cstheme="minorHAnsi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Professional</w:t>
            </w:r>
          </w:p>
          <w:p w:rsidR="00D14696" w:rsidRPr="00D14696" w:rsidRDefault="00D14696" w:rsidP="00D14696">
            <w:pPr>
              <w:autoSpaceDE w:val="0"/>
              <w:autoSpaceDN w:val="0"/>
              <w:adjustRightInd w:val="0"/>
              <w:ind w:left="39" w:right="-33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Indemnity (PI)</w:t>
            </w:r>
          </w:p>
        </w:tc>
        <w:tc>
          <w:tcPr>
            <w:tcW w:w="7941" w:type="dxa"/>
          </w:tcPr>
          <w:p w:rsidR="00D14696" w:rsidRPr="00D14696" w:rsidRDefault="00D14696" w:rsidP="00016384">
            <w:pPr>
              <w:autoSpaceDE w:val="0"/>
              <w:autoSpaceDN w:val="0"/>
              <w:adjustRightInd w:val="0"/>
              <w:ind w:left="44" w:right="170"/>
              <w:rPr>
                <w:rFonts w:cstheme="minorHAnsi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Professional indemnity insurance is a type of liability cover designed to</w:t>
            </w:r>
          </w:p>
          <w:p w:rsidR="00D14696" w:rsidRPr="00D14696" w:rsidRDefault="00D14696" w:rsidP="00016384">
            <w:pPr>
              <w:autoSpaceDE w:val="0"/>
              <w:autoSpaceDN w:val="0"/>
              <w:adjustRightInd w:val="0"/>
              <w:ind w:left="44" w:right="17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protect an individual or business against claims made by clients for loss or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damage due to negligent advice or services provided for a fee. This is usually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held by the placement provider although a student may purchase this policy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directly it is usually very costly to do so.</w:t>
            </w:r>
          </w:p>
        </w:tc>
      </w:tr>
      <w:tr w:rsidR="00D14696" w:rsidRPr="00D14696" w:rsidTr="00016384">
        <w:tc>
          <w:tcPr>
            <w:tcW w:w="2265" w:type="dxa"/>
          </w:tcPr>
          <w:p w:rsidR="00D14696" w:rsidRPr="00D14696" w:rsidRDefault="00D14696" w:rsidP="00D14696">
            <w:pPr>
              <w:autoSpaceDE w:val="0"/>
              <w:autoSpaceDN w:val="0"/>
              <w:adjustRightInd w:val="0"/>
              <w:ind w:left="39" w:right="-33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Travel</w:t>
            </w:r>
          </w:p>
        </w:tc>
        <w:tc>
          <w:tcPr>
            <w:tcW w:w="7941" w:type="dxa"/>
          </w:tcPr>
          <w:p w:rsidR="00D14696" w:rsidRPr="00D14696" w:rsidRDefault="00D14696" w:rsidP="00016384">
            <w:pPr>
              <w:autoSpaceDE w:val="0"/>
              <w:autoSpaceDN w:val="0"/>
              <w:adjustRightInd w:val="0"/>
              <w:ind w:left="44" w:right="170"/>
              <w:rPr>
                <w:rFonts w:cstheme="minorHAnsi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Travel insurance is insurance that is intended to cover medical expenses,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trip cancellation, personal possessions, personal liability and other losses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incurred while traveling, either internationally or within one’s own country.</w:t>
            </w:r>
          </w:p>
          <w:p w:rsidR="00D14696" w:rsidRPr="00D14696" w:rsidRDefault="00D14696" w:rsidP="00016384">
            <w:pPr>
              <w:autoSpaceDE w:val="0"/>
              <w:autoSpaceDN w:val="0"/>
              <w:adjustRightInd w:val="0"/>
              <w:ind w:left="44" w:right="17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Cover varies policy to policy and therefore there may be some differences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in cover.</w:t>
            </w:r>
          </w:p>
        </w:tc>
      </w:tr>
      <w:tr w:rsidR="00D14696" w:rsidRPr="00D14696" w:rsidTr="00016384">
        <w:tc>
          <w:tcPr>
            <w:tcW w:w="2265" w:type="dxa"/>
          </w:tcPr>
          <w:p w:rsidR="00D14696" w:rsidRPr="00D14696" w:rsidRDefault="00D14696" w:rsidP="00D14696">
            <w:pPr>
              <w:autoSpaceDE w:val="0"/>
              <w:autoSpaceDN w:val="0"/>
              <w:adjustRightInd w:val="0"/>
              <w:ind w:left="39" w:right="-33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Motor</w:t>
            </w:r>
          </w:p>
        </w:tc>
        <w:tc>
          <w:tcPr>
            <w:tcW w:w="7941" w:type="dxa"/>
          </w:tcPr>
          <w:p w:rsidR="00D14696" w:rsidRPr="00D14696" w:rsidRDefault="00D14696" w:rsidP="00016384">
            <w:pPr>
              <w:autoSpaceDE w:val="0"/>
              <w:autoSpaceDN w:val="0"/>
              <w:adjustRightInd w:val="0"/>
              <w:ind w:left="44" w:right="17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A motor insurance policy is a policy issued by an insurance company as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part of prevention of public liability to protect the general public from any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lastRenderedPageBreak/>
              <w:t>accident that might take place on the road. Cover can vary, but generally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covers death, injury, damage to vehicles and third party property.</w:t>
            </w:r>
          </w:p>
        </w:tc>
      </w:tr>
      <w:tr w:rsidR="00D14696" w:rsidRPr="00D14696" w:rsidTr="00016384">
        <w:tc>
          <w:tcPr>
            <w:tcW w:w="2265" w:type="dxa"/>
          </w:tcPr>
          <w:p w:rsidR="00D14696" w:rsidRPr="00D14696" w:rsidRDefault="00D14696" w:rsidP="00D14696">
            <w:pPr>
              <w:autoSpaceDE w:val="0"/>
              <w:autoSpaceDN w:val="0"/>
              <w:adjustRightInd w:val="0"/>
              <w:ind w:left="39" w:right="-33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lastRenderedPageBreak/>
              <w:t>Medical/</w:t>
            </w:r>
            <w:r w:rsidRPr="00D14696">
              <w:rPr>
                <w:rFonts w:cstheme="minorHAnsi"/>
                <w:sz w:val="24"/>
                <w:szCs w:val="24"/>
              </w:rPr>
              <w:t>Health</w:t>
            </w:r>
          </w:p>
        </w:tc>
        <w:tc>
          <w:tcPr>
            <w:tcW w:w="7941" w:type="dxa"/>
          </w:tcPr>
          <w:p w:rsidR="00D14696" w:rsidRPr="00D14696" w:rsidRDefault="00D14696" w:rsidP="00016384">
            <w:pPr>
              <w:autoSpaceDE w:val="0"/>
              <w:autoSpaceDN w:val="0"/>
              <w:adjustRightInd w:val="0"/>
              <w:ind w:left="44" w:right="17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14696">
              <w:rPr>
                <w:rFonts w:cstheme="minorHAnsi"/>
                <w:sz w:val="24"/>
                <w:szCs w:val="24"/>
              </w:rPr>
              <w:t>Health insurance is a type of insurance coverage that pays for medical and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surgical expenses incurred by the insured. Health insurance can reimburse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the insured for expenses incurred from illness or injury, or pay the care</w:t>
            </w:r>
            <w:r w:rsidRPr="00D14696">
              <w:rPr>
                <w:rFonts w:cstheme="minorHAnsi"/>
                <w:sz w:val="24"/>
                <w:szCs w:val="24"/>
              </w:rPr>
              <w:t xml:space="preserve"> </w:t>
            </w:r>
            <w:r w:rsidRPr="00D14696">
              <w:rPr>
                <w:rFonts w:cstheme="minorHAnsi"/>
                <w:sz w:val="24"/>
                <w:szCs w:val="24"/>
              </w:rPr>
              <w:t>provider directly.</w:t>
            </w:r>
          </w:p>
        </w:tc>
      </w:tr>
    </w:tbl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bCs/>
          <w:color w:val="000000" w:themeColor="text1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bookmarkStart w:id="0" w:name="_GoBack"/>
      <w:bookmarkEnd w:id="0"/>
      <w:r w:rsidRPr="00D14696">
        <w:rPr>
          <w:rFonts w:cstheme="minorHAnsi"/>
          <w:sz w:val="24"/>
          <w:szCs w:val="24"/>
        </w:rPr>
        <w:t>The exact requirements depend on the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circumstances of the placement. In all cases</w:t>
      </w:r>
      <w:r w:rsidR="00016384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the following scenarios require cover to provide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compensation for harm: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Scenario 1: resulting from negligence by the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HEI.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Scenario 2: to the student resulting from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negligence by the provider.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Scenario 3: resulting from a student’s actions.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The HEI’s PL insurance provides cover to meet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a legal claim with respect to something that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 xml:space="preserve">was the fault of the institution (scenario </w:t>
      </w:r>
      <w:proofErr w:type="gramStart"/>
      <w:r w:rsidRPr="00D14696">
        <w:rPr>
          <w:rFonts w:cstheme="minorHAnsi"/>
          <w:sz w:val="24"/>
          <w:szCs w:val="24"/>
        </w:rPr>
        <w:t>1).</w:t>
      </w:r>
      <w:proofErr w:type="gramEnd"/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It is usual for the provider to hold insurance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policies that provide cover for harm to the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student resulting from their work at the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provider (scenario 2). Within the United</w:t>
      </w:r>
      <w:r w:rsidR="00016384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Kingdom the placement provider is responsible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for the health and safety of the student whilst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on placement as if the student were their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employee</w:t>
      </w:r>
      <w:r w:rsidR="00016384">
        <w:rPr>
          <w:rStyle w:val="FootnoteReference"/>
          <w:rFonts w:cstheme="minorHAnsi"/>
          <w:sz w:val="24"/>
          <w:szCs w:val="24"/>
        </w:rPr>
        <w:footnoteReference w:id="1"/>
      </w:r>
      <w:r w:rsidRPr="00D14696">
        <w:rPr>
          <w:rFonts w:cstheme="minorHAnsi"/>
          <w:sz w:val="24"/>
          <w:szCs w:val="24"/>
        </w:rPr>
        <w:t>. Within the UK most employers are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legally required to hold EL Insurance</w:t>
      </w:r>
      <w:r w:rsidR="00016384">
        <w:rPr>
          <w:rStyle w:val="FootnoteReference"/>
          <w:rFonts w:cstheme="minorHAnsi"/>
          <w:sz w:val="24"/>
          <w:szCs w:val="24"/>
        </w:rPr>
        <w:footnoteReference w:id="2"/>
      </w:r>
      <w:r w:rsidRPr="00D14696">
        <w:rPr>
          <w:rFonts w:cstheme="minorHAnsi"/>
          <w:sz w:val="24"/>
          <w:szCs w:val="24"/>
        </w:rPr>
        <w:t>, and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there is an agreement among the UK insurance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industry that work experience persons will be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regarded as employees by all UK insurers and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covered by EL policies.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Some UK employers are exempt from the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compulsory insurance requirement including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some Government bodies, companies with no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employees and family operations. Outside the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UK some countries require WC policies to be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held which would provide similar cover to EL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or there may not be a legal requirement to hold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any such policy.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Therefore</w:t>
      </w:r>
      <w:r w:rsidR="00016384">
        <w:rPr>
          <w:rFonts w:cstheme="minorHAnsi"/>
          <w:sz w:val="24"/>
          <w:szCs w:val="24"/>
        </w:rPr>
        <w:t>,</w:t>
      </w:r>
      <w:r w:rsidRPr="00D14696">
        <w:rPr>
          <w:rFonts w:cstheme="minorHAnsi"/>
          <w:sz w:val="24"/>
          <w:szCs w:val="24"/>
        </w:rPr>
        <w:t xml:space="preserve"> the initial screening process should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ask placement providers if their insurance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covers liability for injuries or sickness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suffered by placement students attributable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to their duties with the organisation. Where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this is not the case the placement may be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declined or referred to the HEI’s approval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escalation mechanism. HEIs should ensure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they understand any potential liability they may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hold if such placements are approved. If such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placements are approved, the student should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be briefed on the potential implications and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written confirmation be sought from the student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accepting that they understand the potential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implications and risks associated. The student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may wish to purchase personal accident cover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in this case, however it should be noted it is not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meant to replace EL/WC and is normally a low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limit in terms of compensation.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If the student is undertaking a ‘Self Employed’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placement then they will not require EL cover,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however, they may require Public Liability cover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and possibly Professional Indemnity cover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which they will have to arrange themselves.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Within the UK, employers are vicariously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liable for the negligent acts of their employees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including students on placement, if such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acts cause injury to others (scenario 3). This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liability will be covered by the placement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provider’s insurance policies as the provider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is responsible for supervising the placement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student during their duties. As with the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previous scenario the situation can be more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variable outside the UK therefore the initial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screening process should ask placements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providers if their insurance also covers liability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for harm resulting from student’s actions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conducted in connection with their duties for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the organisation.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This is particularly relevant where placements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are within a field where there may be legal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liability for professional risks (e.g. medical,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dental, veterinary placements). This would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normally be covered by professional indemnity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insurance or in appropriate cases medical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malpractice insurance. This can also be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known as clinical negligence, or errors and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omissions insurance.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The HEI’s insurance would not normally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cover students on work placements and the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expectation would be for this to be covered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by the placement provider, not least because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only the placement provider is in a position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to manage the professional or business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activities of the student. Students working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within NHS hospitals in the UK are usually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covered for professional risks under the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Clinical Negligence Scheme for Trusts. GP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practice’s medical malpractice insurance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should usually cover those placed with a GP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practice in the UK. If the placement is in a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private hospital, hospice or nursing home this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may not always be the case.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For placements in relevant professional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settings, the initial screening should also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ensure providers confirm their insurance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will cover professional liability of the student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for injuries to third parties arising from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their duties. Where this is not the case, the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placement should not be approved unless cover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can be provided from another source (e.g. the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student or HEI buy cover).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b/>
          <w:bCs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b/>
          <w:bCs/>
          <w:sz w:val="24"/>
          <w:szCs w:val="24"/>
        </w:rPr>
      </w:pPr>
      <w:r w:rsidRPr="00D14696">
        <w:rPr>
          <w:rFonts w:cstheme="minorHAnsi"/>
          <w:b/>
          <w:bCs/>
          <w:sz w:val="24"/>
          <w:szCs w:val="24"/>
        </w:rPr>
        <w:t>Additional insurances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Depending on the circumstances of the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placement additional insurance cover may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be required related to travel. If a placement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requires the student to drive, suitable motor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vehicle insurance will be required. This may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be provided by the placement provider if the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student is driving the provider’s vehicle. If the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student is driving their own vehicle for work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purposes it is important to check the insurance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covers ‘business purposes’ and not just ‘social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domestic and pleasure’ use of the vehicle.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Where students are travelling abroad for their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placement it is important an appropriate travel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insurance policy is in place. This provides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assistance in most emergency situations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without which students could be vulnerable.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Where institutions provide travel insurance for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students any caveats (e.g. reduced coverage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in high risk locations, exclusions for sports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activities, lifestyle, holiday periods or pre</w:t>
      </w:r>
      <w:r w:rsidRPr="00D14696">
        <w:rPr>
          <w:rFonts w:cstheme="minorHAnsi"/>
          <w:sz w:val="24"/>
          <w:szCs w:val="24"/>
        </w:rPr>
        <w:t>-</w:t>
      </w:r>
      <w:r w:rsidRPr="00D14696">
        <w:rPr>
          <w:rFonts w:cstheme="minorHAnsi"/>
          <w:sz w:val="24"/>
          <w:szCs w:val="24"/>
        </w:rPr>
        <w:t>existing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conditions) should be communicated to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the student. Where institutions do not provide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cover they should have a process for ensuring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/encouraging students to purchase their own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lastRenderedPageBreak/>
        <w:t>policy for the duration of their trip. The medical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cover included in travel insurance policies can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be expected to exclude routine treatments but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may limit cover for pre-existing conditions,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pregnancy and childbirth. If this is a concern,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the student may wish to purchase medical/health insurance locally.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The European health card scheme</w:t>
      </w:r>
      <w:r w:rsidR="00016384">
        <w:rPr>
          <w:rStyle w:val="FootnoteReference"/>
          <w:rFonts w:cstheme="minorHAnsi"/>
          <w:sz w:val="24"/>
          <w:szCs w:val="24"/>
        </w:rPr>
        <w:footnoteReference w:id="3"/>
      </w:r>
      <w:r w:rsidRPr="00D14696">
        <w:rPr>
          <w:rFonts w:cstheme="minorHAnsi"/>
          <w:sz w:val="24"/>
          <w:szCs w:val="24"/>
        </w:rPr>
        <w:t xml:space="preserve"> provides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healthcare for European citizens to the same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level as the national health scheme in that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country, which may be limited and/or not free at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the point of delivery. Come countries, such as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Australia have reciprocal health arrangements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for long term care such as dialysis, students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should be encouraged to research the details of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these schemes before travelling.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Where students are purchasing their own cover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for any policy type, they should be advised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to check the wording, and particularly the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exclusions, carefully to ensure that it meets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their requirements. Most HEIs cannot advise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students on purchase of specific policies as</w:t>
      </w:r>
    </w:p>
    <w:p w:rsidR="00D14696" w:rsidRPr="00D14696" w:rsidRDefault="00D14696" w:rsidP="00D14696">
      <w:pPr>
        <w:autoSpaceDE w:val="0"/>
        <w:autoSpaceDN w:val="0"/>
        <w:adjustRightInd w:val="0"/>
        <w:spacing w:after="0" w:line="240" w:lineRule="auto"/>
        <w:ind w:left="-567" w:right="-330"/>
        <w:rPr>
          <w:rFonts w:cstheme="minorHAnsi"/>
          <w:bCs/>
          <w:color w:val="000000" w:themeColor="text1"/>
          <w:sz w:val="24"/>
          <w:szCs w:val="24"/>
        </w:rPr>
      </w:pPr>
      <w:r w:rsidRPr="00D14696">
        <w:rPr>
          <w:rFonts w:cstheme="minorHAnsi"/>
          <w:sz w:val="24"/>
          <w:szCs w:val="24"/>
        </w:rPr>
        <w:t>they are not authorised to offer financial advice</w:t>
      </w:r>
      <w:r w:rsidRPr="00D14696">
        <w:rPr>
          <w:rFonts w:cstheme="minorHAnsi"/>
          <w:sz w:val="24"/>
          <w:szCs w:val="24"/>
        </w:rPr>
        <w:t xml:space="preserve"> </w:t>
      </w:r>
      <w:r w:rsidRPr="00D14696">
        <w:rPr>
          <w:rFonts w:cstheme="minorHAnsi"/>
          <w:sz w:val="24"/>
          <w:szCs w:val="24"/>
        </w:rPr>
        <w:t>under the Financial Services Authority rules.</w:t>
      </w:r>
    </w:p>
    <w:sectPr w:rsidR="00D14696" w:rsidRPr="00D14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384" w:rsidRDefault="00016384" w:rsidP="00016384">
      <w:pPr>
        <w:spacing w:after="0" w:line="240" w:lineRule="auto"/>
      </w:pPr>
      <w:r>
        <w:separator/>
      </w:r>
    </w:p>
  </w:endnote>
  <w:endnote w:type="continuationSeparator" w:id="0">
    <w:p w:rsidR="00016384" w:rsidRDefault="00016384" w:rsidP="0001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384" w:rsidRDefault="00016384" w:rsidP="00016384">
      <w:pPr>
        <w:spacing w:after="0" w:line="240" w:lineRule="auto"/>
      </w:pPr>
      <w:r>
        <w:separator/>
      </w:r>
    </w:p>
  </w:footnote>
  <w:footnote w:type="continuationSeparator" w:id="0">
    <w:p w:rsidR="00016384" w:rsidRDefault="00016384" w:rsidP="00016384">
      <w:pPr>
        <w:spacing w:after="0" w:line="240" w:lineRule="auto"/>
      </w:pPr>
      <w:r>
        <w:continuationSeparator/>
      </w:r>
    </w:p>
  </w:footnote>
  <w:footnote w:id="1">
    <w:p w:rsidR="00016384" w:rsidRPr="00016384" w:rsidRDefault="00016384" w:rsidP="00016384">
      <w:pPr>
        <w:pStyle w:val="FootnoteText"/>
        <w:ind w:hanging="567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Health and Safety (Training for Employment) Regulations 1990</w:t>
      </w:r>
    </w:p>
  </w:footnote>
  <w:footnote w:id="2">
    <w:p w:rsidR="00016384" w:rsidRPr="00016384" w:rsidRDefault="00016384" w:rsidP="00016384">
      <w:pPr>
        <w:pStyle w:val="FootnoteText"/>
        <w:ind w:hanging="567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Employers’ Liability (Compulsory Insurance) Act 1969</w:t>
      </w:r>
    </w:p>
  </w:footnote>
  <w:footnote w:id="3">
    <w:p w:rsidR="00016384" w:rsidRPr="00016384" w:rsidRDefault="00016384" w:rsidP="00016384">
      <w:pPr>
        <w:pStyle w:val="FootnoteText"/>
        <w:ind w:left="-426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Advice on this subject should be reviewed once the outcome of the British exit from the EU is known. (Update – information can be found via the NHS website on </w:t>
      </w:r>
      <w:hyperlink r:id="rId1" w:history="1">
        <w:r w:rsidRPr="00016384">
          <w:rPr>
            <w:rStyle w:val="Hyperlink"/>
            <w:lang w:val="en-US"/>
          </w:rPr>
          <w:t>Applying for healthcare cover abroad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96"/>
    <w:rsid w:val="00016384"/>
    <w:rsid w:val="0007351B"/>
    <w:rsid w:val="00083A3B"/>
    <w:rsid w:val="00120D93"/>
    <w:rsid w:val="00126B51"/>
    <w:rsid w:val="00163B72"/>
    <w:rsid w:val="00171AEB"/>
    <w:rsid w:val="00174D0B"/>
    <w:rsid w:val="00187E3F"/>
    <w:rsid w:val="001A2150"/>
    <w:rsid w:val="001C661C"/>
    <w:rsid w:val="001C6826"/>
    <w:rsid w:val="001D2A7B"/>
    <w:rsid w:val="001F6995"/>
    <w:rsid w:val="00222916"/>
    <w:rsid w:val="00273686"/>
    <w:rsid w:val="0028734B"/>
    <w:rsid w:val="002B231D"/>
    <w:rsid w:val="002D34BA"/>
    <w:rsid w:val="002E767E"/>
    <w:rsid w:val="002F2CD1"/>
    <w:rsid w:val="00305E7D"/>
    <w:rsid w:val="00324BB8"/>
    <w:rsid w:val="0038059D"/>
    <w:rsid w:val="003A5A20"/>
    <w:rsid w:val="003E50A2"/>
    <w:rsid w:val="003F5918"/>
    <w:rsid w:val="00410928"/>
    <w:rsid w:val="00456893"/>
    <w:rsid w:val="0047078D"/>
    <w:rsid w:val="00473D37"/>
    <w:rsid w:val="004A74E9"/>
    <w:rsid w:val="004B5519"/>
    <w:rsid w:val="004C4A04"/>
    <w:rsid w:val="004D1F80"/>
    <w:rsid w:val="00501584"/>
    <w:rsid w:val="0050599F"/>
    <w:rsid w:val="00574FAD"/>
    <w:rsid w:val="005C187E"/>
    <w:rsid w:val="005C5B4B"/>
    <w:rsid w:val="005F31C1"/>
    <w:rsid w:val="00650B8F"/>
    <w:rsid w:val="006676B4"/>
    <w:rsid w:val="00671725"/>
    <w:rsid w:val="006C1932"/>
    <w:rsid w:val="006E1CC7"/>
    <w:rsid w:val="00707137"/>
    <w:rsid w:val="00716BD4"/>
    <w:rsid w:val="00726C5E"/>
    <w:rsid w:val="007320FA"/>
    <w:rsid w:val="00750022"/>
    <w:rsid w:val="007908D0"/>
    <w:rsid w:val="008C71BE"/>
    <w:rsid w:val="00980459"/>
    <w:rsid w:val="009D2832"/>
    <w:rsid w:val="00A44AE9"/>
    <w:rsid w:val="00A66060"/>
    <w:rsid w:val="00A86E81"/>
    <w:rsid w:val="00B05DFB"/>
    <w:rsid w:val="00B23B40"/>
    <w:rsid w:val="00B4470E"/>
    <w:rsid w:val="00B54A10"/>
    <w:rsid w:val="00B6434A"/>
    <w:rsid w:val="00B818B4"/>
    <w:rsid w:val="00BB77AB"/>
    <w:rsid w:val="00BC4E47"/>
    <w:rsid w:val="00BD7929"/>
    <w:rsid w:val="00C14F38"/>
    <w:rsid w:val="00C7144D"/>
    <w:rsid w:val="00CB5565"/>
    <w:rsid w:val="00CD5296"/>
    <w:rsid w:val="00CE7E9C"/>
    <w:rsid w:val="00D14696"/>
    <w:rsid w:val="00D21EF1"/>
    <w:rsid w:val="00DB47C0"/>
    <w:rsid w:val="00E2540D"/>
    <w:rsid w:val="00E44DB3"/>
    <w:rsid w:val="00E70844"/>
    <w:rsid w:val="00E73C3D"/>
    <w:rsid w:val="00EA53F4"/>
    <w:rsid w:val="00EC761F"/>
    <w:rsid w:val="00F06ED4"/>
    <w:rsid w:val="00F63ABF"/>
    <w:rsid w:val="00F67A26"/>
    <w:rsid w:val="00F95ED4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A2907"/>
  <w15:chartTrackingRefBased/>
  <w15:docId w15:val="{DEFD461D-3019-4ED2-9A94-B67B3FA1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638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3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3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63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cu.ac.uk/healthandsafet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hs.uk/using-the-nhs/healthcare-abroad/apply-for-a-free-uk-global-health-insurance-card-gh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570F-887D-48AA-A056-5C7E2697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Colette</dc:creator>
  <cp:keywords/>
  <dc:description/>
  <cp:lastModifiedBy>Hamilton, Colette</cp:lastModifiedBy>
  <cp:revision>1</cp:revision>
  <dcterms:created xsi:type="dcterms:W3CDTF">2022-05-12T10:23:00Z</dcterms:created>
  <dcterms:modified xsi:type="dcterms:W3CDTF">2022-05-12T10:52:00Z</dcterms:modified>
</cp:coreProperties>
</file>