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4" w:rsidRPr="003E5298" w:rsidRDefault="00E71336" w:rsidP="00B9660D">
      <w:pPr>
        <w:jc w:val="center"/>
        <w:rPr>
          <w:rFonts w:cstheme="minorHAnsi"/>
          <w:b/>
          <w:color w:val="548DD4"/>
          <w:sz w:val="24"/>
          <w:szCs w:val="24"/>
        </w:rPr>
      </w:pPr>
      <w:bookmarkStart w:id="0" w:name="_GoBack"/>
      <w:bookmarkEnd w:id="0"/>
      <w:r w:rsidRPr="003E5298">
        <w:rPr>
          <w:rFonts w:cstheme="minorHAnsi"/>
          <w:b/>
          <w:color w:val="548DD4"/>
          <w:sz w:val="24"/>
          <w:szCs w:val="24"/>
        </w:rPr>
        <w:t xml:space="preserve">COURT BULLETIN: </w:t>
      </w:r>
      <w:r w:rsidR="000B1EDB">
        <w:rPr>
          <w:rFonts w:cstheme="minorHAnsi"/>
          <w:b/>
          <w:color w:val="548DD4"/>
          <w:sz w:val="24"/>
          <w:szCs w:val="24"/>
        </w:rPr>
        <w:t>27</w:t>
      </w:r>
      <w:r w:rsidR="000A7281" w:rsidRPr="003E5298">
        <w:rPr>
          <w:rFonts w:cstheme="minorHAnsi"/>
          <w:b/>
          <w:color w:val="548DD4"/>
          <w:sz w:val="24"/>
          <w:szCs w:val="24"/>
        </w:rPr>
        <w:t xml:space="preserve"> APRIL 2017</w:t>
      </w:r>
    </w:p>
    <w:p w:rsidR="009D7E3D" w:rsidRPr="003E5298" w:rsidRDefault="009D7E3D" w:rsidP="00101CE0">
      <w:pPr>
        <w:jc w:val="both"/>
        <w:rPr>
          <w:rFonts w:cstheme="minorHAnsi"/>
          <w:sz w:val="24"/>
          <w:szCs w:val="24"/>
        </w:rPr>
      </w:pPr>
      <w:r w:rsidRPr="003E5298">
        <w:rPr>
          <w:rFonts w:cstheme="minorHAnsi"/>
          <w:sz w:val="24"/>
          <w:szCs w:val="24"/>
        </w:rPr>
        <w:t>Dear Colleagues</w:t>
      </w:r>
    </w:p>
    <w:p w:rsidR="009D7E3D" w:rsidRPr="003E5298" w:rsidRDefault="00A07DB4" w:rsidP="00101CE0">
      <w:pPr>
        <w:jc w:val="both"/>
        <w:rPr>
          <w:sz w:val="24"/>
          <w:szCs w:val="24"/>
        </w:rPr>
      </w:pPr>
      <w:r w:rsidRPr="003E5298">
        <w:rPr>
          <w:sz w:val="24"/>
          <w:szCs w:val="24"/>
        </w:rPr>
        <w:t xml:space="preserve">This </w:t>
      </w:r>
      <w:r w:rsidR="00AA7E92">
        <w:rPr>
          <w:sz w:val="24"/>
          <w:szCs w:val="24"/>
        </w:rPr>
        <w:t xml:space="preserve">University Court Bulletin </w:t>
      </w:r>
      <w:r w:rsidR="0052403D">
        <w:rPr>
          <w:sz w:val="24"/>
          <w:szCs w:val="24"/>
        </w:rPr>
        <w:t>provide</w:t>
      </w:r>
      <w:r w:rsidR="00AA7E92">
        <w:rPr>
          <w:sz w:val="24"/>
          <w:szCs w:val="24"/>
        </w:rPr>
        <w:t>s</w:t>
      </w:r>
      <w:r w:rsidR="0052403D">
        <w:rPr>
          <w:sz w:val="24"/>
          <w:szCs w:val="24"/>
        </w:rPr>
        <w:t xml:space="preserve"> a high</w:t>
      </w:r>
      <w:r w:rsidR="000B1EDB">
        <w:rPr>
          <w:sz w:val="24"/>
          <w:szCs w:val="24"/>
        </w:rPr>
        <w:t>-</w:t>
      </w:r>
      <w:r w:rsidR="0052403D">
        <w:rPr>
          <w:sz w:val="24"/>
          <w:szCs w:val="24"/>
        </w:rPr>
        <w:t xml:space="preserve"> level </w:t>
      </w:r>
      <w:r w:rsidRPr="003E5298">
        <w:rPr>
          <w:sz w:val="24"/>
          <w:szCs w:val="24"/>
        </w:rPr>
        <w:t>summar</w:t>
      </w:r>
      <w:r w:rsidR="0052403D">
        <w:rPr>
          <w:sz w:val="24"/>
          <w:szCs w:val="24"/>
        </w:rPr>
        <w:t>y of the main issues discussed by Court</w:t>
      </w:r>
      <w:r w:rsidR="00AA7E92">
        <w:rPr>
          <w:sz w:val="24"/>
          <w:szCs w:val="24"/>
        </w:rPr>
        <w:t xml:space="preserve"> and will be available on the University website after each meeting. </w:t>
      </w:r>
      <w:r w:rsidR="0052403D">
        <w:rPr>
          <w:sz w:val="24"/>
          <w:szCs w:val="24"/>
        </w:rPr>
        <w:t xml:space="preserve"> </w:t>
      </w:r>
      <w:r w:rsidR="00AA7E92">
        <w:rPr>
          <w:sz w:val="24"/>
          <w:szCs w:val="24"/>
        </w:rPr>
        <w:t>The bulletins</w:t>
      </w:r>
      <w:r w:rsidRPr="003E5298">
        <w:rPr>
          <w:sz w:val="24"/>
          <w:szCs w:val="24"/>
        </w:rPr>
        <w:t xml:space="preserve"> are not a formal record of the Court meeting</w:t>
      </w:r>
      <w:r w:rsidR="00C32AA9" w:rsidRPr="003E5298">
        <w:rPr>
          <w:sz w:val="24"/>
          <w:szCs w:val="24"/>
        </w:rPr>
        <w:t>.</w:t>
      </w:r>
      <w:r w:rsidRPr="003E5298">
        <w:rPr>
          <w:sz w:val="24"/>
          <w:szCs w:val="24"/>
        </w:rPr>
        <w:t xml:space="preserve">  </w:t>
      </w:r>
      <w:r w:rsidR="009D7E3D" w:rsidRPr="003E5298">
        <w:rPr>
          <w:sz w:val="24"/>
          <w:szCs w:val="24"/>
        </w:rPr>
        <w:t xml:space="preserve"> </w:t>
      </w:r>
      <w:r w:rsidR="0052403D">
        <w:rPr>
          <w:sz w:val="24"/>
          <w:szCs w:val="24"/>
        </w:rPr>
        <w:t xml:space="preserve">Minutes of the Court meetings are also </w:t>
      </w:r>
      <w:r w:rsidR="00AA7E92">
        <w:rPr>
          <w:sz w:val="24"/>
          <w:szCs w:val="24"/>
        </w:rPr>
        <w:t>published</w:t>
      </w:r>
      <w:r w:rsidR="0052403D">
        <w:rPr>
          <w:sz w:val="24"/>
          <w:szCs w:val="24"/>
        </w:rPr>
        <w:t xml:space="preserve"> on the </w:t>
      </w:r>
      <w:r w:rsidR="00AA7E92">
        <w:rPr>
          <w:sz w:val="24"/>
          <w:szCs w:val="24"/>
        </w:rPr>
        <w:t xml:space="preserve">University </w:t>
      </w:r>
      <w:r w:rsidR="0052403D">
        <w:rPr>
          <w:sz w:val="24"/>
          <w:szCs w:val="24"/>
        </w:rPr>
        <w:t>website</w:t>
      </w:r>
      <w:r w:rsidR="00AA7E92">
        <w:rPr>
          <w:sz w:val="24"/>
          <w:szCs w:val="24"/>
        </w:rPr>
        <w:t>.</w:t>
      </w:r>
    </w:p>
    <w:p w:rsidR="00D21D56" w:rsidRPr="003E5298" w:rsidRDefault="00D21D56" w:rsidP="00D21D56">
      <w:pPr>
        <w:jc w:val="both"/>
        <w:rPr>
          <w:b/>
          <w:color w:val="0070C0"/>
          <w:sz w:val="24"/>
          <w:szCs w:val="24"/>
        </w:rPr>
      </w:pPr>
      <w:r w:rsidRPr="003E5298">
        <w:rPr>
          <w:rFonts w:cs="Calibri"/>
          <w:b/>
          <w:color w:val="0070C0"/>
          <w:sz w:val="24"/>
          <w:szCs w:val="24"/>
        </w:rPr>
        <w:t>GCU New York</w:t>
      </w:r>
    </w:p>
    <w:p w:rsidR="00D21D56" w:rsidRPr="003E5298" w:rsidRDefault="00B10C6D" w:rsidP="006828CA">
      <w:pPr>
        <w:jc w:val="both"/>
        <w:rPr>
          <w:rFonts w:cstheme="minorHAnsi"/>
          <w:sz w:val="24"/>
          <w:szCs w:val="24"/>
        </w:rPr>
      </w:pPr>
      <w:r w:rsidRPr="003E5298">
        <w:rPr>
          <w:rFonts w:cstheme="minorHAnsi"/>
          <w:sz w:val="24"/>
          <w:szCs w:val="24"/>
        </w:rPr>
        <w:t xml:space="preserve">The Vice-President of GCY New York presented </w:t>
      </w:r>
      <w:r w:rsidR="00D21D56" w:rsidRPr="003E5298">
        <w:rPr>
          <w:rFonts w:cstheme="minorHAnsi"/>
          <w:sz w:val="24"/>
          <w:szCs w:val="24"/>
        </w:rPr>
        <w:t xml:space="preserve">a progress report in relation to GCU New York including </w:t>
      </w:r>
      <w:r w:rsidR="009E17B2" w:rsidRPr="003E5298">
        <w:rPr>
          <w:rFonts w:cstheme="minorHAnsi"/>
          <w:sz w:val="24"/>
          <w:szCs w:val="24"/>
        </w:rPr>
        <w:t>the process for obtaining a licence</w:t>
      </w:r>
      <w:r w:rsidR="000B1EDB">
        <w:rPr>
          <w:rFonts w:cstheme="minorHAnsi"/>
          <w:sz w:val="24"/>
          <w:szCs w:val="24"/>
        </w:rPr>
        <w:t xml:space="preserve"> and the draft budget projections for 2017/2018 if the licence was awarded as hoped</w:t>
      </w:r>
      <w:r w:rsidRPr="003E5298">
        <w:rPr>
          <w:rFonts w:cstheme="minorHAnsi"/>
          <w:sz w:val="24"/>
          <w:szCs w:val="24"/>
        </w:rPr>
        <w:t>. During a detailed and robust discussion Court members sought and received assurances from the Executive Board on a number of points</w:t>
      </w:r>
      <w:r w:rsidR="000B1EDB">
        <w:rPr>
          <w:rFonts w:cstheme="minorHAnsi"/>
          <w:sz w:val="24"/>
          <w:szCs w:val="24"/>
        </w:rPr>
        <w:t xml:space="preserve"> including income and costs</w:t>
      </w:r>
      <w:r w:rsidRPr="003E5298">
        <w:rPr>
          <w:rFonts w:cstheme="minorHAnsi"/>
          <w:sz w:val="24"/>
          <w:szCs w:val="24"/>
        </w:rPr>
        <w:t>.</w:t>
      </w:r>
      <w:r w:rsidR="00D21D56" w:rsidRPr="003E5298">
        <w:rPr>
          <w:rFonts w:cstheme="minorHAnsi"/>
          <w:sz w:val="24"/>
          <w:szCs w:val="24"/>
        </w:rPr>
        <w:t xml:space="preserve">  </w:t>
      </w:r>
    </w:p>
    <w:p w:rsidR="00D21D56" w:rsidRPr="003E5298" w:rsidRDefault="009E17B2" w:rsidP="006828CA">
      <w:pPr>
        <w:jc w:val="both"/>
        <w:rPr>
          <w:rFonts w:cstheme="minorHAnsi"/>
          <w:b/>
          <w:color w:val="0070C0"/>
          <w:sz w:val="24"/>
          <w:szCs w:val="24"/>
        </w:rPr>
      </w:pPr>
      <w:r w:rsidRPr="003E5298">
        <w:rPr>
          <w:rFonts w:cstheme="minorHAnsi"/>
          <w:b/>
          <w:color w:val="0070C0"/>
          <w:sz w:val="24"/>
          <w:szCs w:val="24"/>
        </w:rPr>
        <w:t>GCU London</w:t>
      </w:r>
    </w:p>
    <w:p w:rsidR="00B10C6D" w:rsidRPr="003E5298" w:rsidRDefault="00B10C6D" w:rsidP="006828CA">
      <w:pPr>
        <w:jc w:val="both"/>
        <w:rPr>
          <w:rFonts w:cstheme="minorHAnsi"/>
          <w:b/>
          <w:color w:val="0070C0"/>
          <w:sz w:val="24"/>
          <w:szCs w:val="24"/>
        </w:rPr>
      </w:pPr>
      <w:r w:rsidRPr="003E5298">
        <w:rPr>
          <w:rFonts w:cs="Calibri"/>
          <w:bCs/>
          <w:sz w:val="24"/>
          <w:szCs w:val="24"/>
        </w:rPr>
        <w:t xml:space="preserve">Court received and discussed a monitoring report from the DVC Academic which updated Court on progress on actions required to </w:t>
      </w:r>
      <w:r w:rsidR="000B1EDB">
        <w:rPr>
          <w:rFonts w:cs="Calibri"/>
          <w:bCs/>
          <w:sz w:val="24"/>
          <w:szCs w:val="24"/>
        </w:rPr>
        <w:t>control costs and increase income in line with</w:t>
      </w:r>
      <w:r w:rsidRPr="003E5298">
        <w:rPr>
          <w:rFonts w:cs="Calibri"/>
          <w:bCs/>
          <w:sz w:val="24"/>
          <w:szCs w:val="24"/>
        </w:rPr>
        <w:t xml:space="preserve"> the refreshed strategy for GCU London.</w:t>
      </w:r>
    </w:p>
    <w:p w:rsidR="00F76D7A" w:rsidRPr="003E5298" w:rsidRDefault="00F76D7A" w:rsidP="006828CA">
      <w:pPr>
        <w:jc w:val="both"/>
        <w:rPr>
          <w:rFonts w:cstheme="minorHAnsi"/>
          <w:b/>
          <w:color w:val="0070C0"/>
          <w:sz w:val="24"/>
          <w:szCs w:val="24"/>
        </w:rPr>
      </w:pPr>
      <w:r w:rsidRPr="003E5298">
        <w:rPr>
          <w:rFonts w:cstheme="minorHAnsi"/>
          <w:b/>
          <w:color w:val="0070C0"/>
          <w:sz w:val="24"/>
          <w:szCs w:val="24"/>
        </w:rPr>
        <w:t>Public Sector Equality Duty Report</w:t>
      </w:r>
    </w:p>
    <w:p w:rsidR="006828CA" w:rsidRPr="003E5298" w:rsidRDefault="00041EDF" w:rsidP="006828CA">
      <w:pPr>
        <w:jc w:val="both"/>
        <w:rPr>
          <w:rFonts w:cstheme="minorHAnsi"/>
          <w:b/>
          <w:color w:val="548DD4" w:themeColor="text2" w:themeTint="99"/>
          <w:sz w:val="24"/>
          <w:szCs w:val="24"/>
        </w:rPr>
      </w:pPr>
      <w:r w:rsidRPr="003E5298">
        <w:rPr>
          <w:rFonts w:cs="Calibri"/>
          <w:sz w:val="24"/>
          <w:szCs w:val="24"/>
        </w:rPr>
        <w:t>Court members approved the Public</w:t>
      </w:r>
      <w:r w:rsidR="005C50AB">
        <w:rPr>
          <w:rFonts w:cs="Calibri"/>
          <w:sz w:val="24"/>
          <w:szCs w:val="24"/>
        </w:rPr>
        <w:t xml:space="preserve"> </w:t>
      </w:r>
      <w:r w:rsidRPr="003E5298">
        <w:rPr>
          <w:rFonts w:cs="Calibri"/>
          <w:sz w:val="24"/>
          <w:szCs w:val="24"/>
        </w:rPr>
        <w:t>Sector Equality Duty Report that described the University’s progress</w:t>
      </w:r>
      <w:r w:rsidR="005C50AB">
        <w:rPr>
          <w:rFonts w:cs="Calibri"/>
          <w:sz w:val="24"/>
          <w:szCs w:val="24"/>
        </w:rPr>
        <w:t xml:space="preserve"> over the period 2015-2017</w:t>
      </w:r>
      <w:r w:rsidRPr="003E5298">
        <w:rPr>
          <w:rFonts w:cs="Calibri"/>
          <w:sz w:val="24"/>
          <w:szCs w:val="24"/>
        </w:rPr>
        <w:t xml:space="preserve"> in mainstreaming equality and delivering its equality outcomes as required by the Public Sector Equality Duty of the Equality Act 2010. The report demonstrated that positive progress had been made, with the University’s Common Good mission clearly aligned with the requirements of the general duty. </w:t>
      </w:r>
    </w:p>
    <w:p w:rsidR="00925156" w:rsidRPr="003E5298" w:rsidRDefault="00925156" w:rsidP="00101CE0">
      <w:pPr>
        <w:jc w:val="both"/>
        <w:rPr>
          <w:b/>
          <w:color w:val="0070C0"/>
          <w:sz w:val="24"/>
          <w:szCs w:val="24"/>
        </w:rPr>
      </w:pPr>
      <w:r w:rsidRPr="003E5298">
        <w:rPr>
          <w:b/>
          <w:color w:val="0070C0"/>
          <w:sz w:val="24"/>
          <w:szCs w:val="24"/>
        </w:rPr>
        <w:t>Equality Outcomes 2017-20</w:t>
      </w:r>
      <w:r w:rsidR="005C50AB">
        <w:rPr>
          <w:b/>
          <w:color w:val="0070C0"/>
          <w:sz w:val="24"/>
          <w:szCs w:val="24"/>
        </w:rPr>
        <w:t>2</w:t>
      </w:r>
      <w:r w:rsidRPr="003E5298">
        <w:rPr>
          <w:b/>
          <w:color w:val="0070C0"/>
          <w:sz w:val="24"/>
          <w:szCs w:val="24"/>
        </w:rPr>
        <w:t>1</w:t>
      </w:r>
    </w:p>
    <w:p w:rsidR="006828CA" w:rsidRPr="003E5298" w:rsidRDefault="00925156" w:rsidP="004C4CE6">
      <w:pPr>
        <w:jc w:val="both"/>
        <w:rPr>
          <w:rFonts w:cs="Calibri"/>
          <w:sz w:val="24"/>
          <w:szCs w:val="24"/>
        </w:rPr>
      </w:pPr>
      <w:r w:rsidRPr="003E5298">
        <w:rPr>
          <w:rFonts w:cs="Calibri"/>
          <w:sz w:val="24"/>
          <w:szCs w:val="24"/>
        </w:rPr>
        <w:t xml:space="preserve">Court approved the GCU Equality Outcomes for 2017-2021 </w:t>
      </w:r>
      <w:r w:rsidR="007048EE" w:rsidRPr="00554BBD">
        <w:rPr>
          <w:rFonts w:cs="Segoe UI"/>
          <w:sz w:val="24"/>
          <w:szCs w:val="24"/>
        </w:rPr>
        <w:t>which build on the original outcomes developed in 2013</w:t>
      </w:r>
      <w:r w:rsidR="005C50AB">
        <w:rPr>
          <w:rFonts w:cs="Segoe UI"/>
          <w:sz w:val="24"/>
          <w:szCs w:val="24"/>
        </w:rPr>
        <w:t xml:space="preserve"> on the basis of wide involvement and consultation</w:t>
      </w:r>
      <w:r w:rsidR="007048EE" w:rsidRPr="00554BBD">
        <w:rPr>
          <w:rFonts w:cs="Segoe UI"/>
          <w:sz w:val="24"/>
          <w:szCs w:val="24"/>
        </w:rPr>
        <w:t>.</w:t>
      </w:r>
      <w:r w:rsidRPr="00554BBD">
        <w:rPr>
          <w:rFonts w:cs="Calibri"/>
          <w:sz w:val="24"/>
          <w:szCs w:val="24"/>
        </w:rPr>
        <w:t xml:space="preserve"> </w:t>
      </w:r>
      <w:r w:rsidR="005C50AB">
        <w:rPr>
          <w:rFonts w:cs="Calibri"/>
          <w:sz w:val="24"/>
          <w:szCs w:val="24"/>
        </w:rPr>
        <w:t>Reports will</w:t>
      </w:r>
      <w:r w:rsidRPr="00554BBD">
        <w:rPr>
          <w:rFonts w:cs="Calibri"/>
          <w:sz w:val="24"/>
          <w:szCs w:val="24"/>
        </w:rPr>
        <w:t xml:space="preserve"> be provided</w:t>
      </w:r>
      <w:r w:rsidRPr="003E5298">
        <w:rPr>
          <w:rFonts w:cs="Calibri"/>
          <w:sz w:val="24"/>
          <w:szCs w:val="24"/>
        </w:rPr>
        <w:t xml:space="preserve"> </w:t>
      </w:r>
      <w:r w:rsidR="005C50AB">
        <w:rPr>
          <w:rFonts w:cs="Calibri"/>
          <w:sz w:val="24"/>
          <w:szCs w:val="24"/>
        </w:rPr>
        <w:t xml:space="preserve">at least annually </w:t>
      </w:r>
      <w:r w:rsidRPr="003E5298">
        <w:rPr>
          <w:rFonts w:cs="Calibri"/>
          <w:sz w:val="24"/>
          <w:szCs w:val="24"/>
        </w:rPr>
        <w:t>over the next four years in relation to the achievement of these outcomes</w:t>
      </w:r>
      <w:r w:rsidR="005C50AB">
        <w:rPr>
          <w:rFonts w:cs="Calibri"/>
          <w:sz w:val="24"/>
          <w:szCs w:val="24"/>
        </w:rPr>
        <w:t xml:space="preserve"> and the statutory Public Sector Equality Duty Report will next be published in 2019</w:t>
      </w:r>
      <w:r w:rsidRPr="003E5298">
        <w:rPr>
          <w:rFonts w:cs="Calibri"/>
          <w:sz w:val="24"/>
          <w:szCs w:val="24"/>
        </w:rPr>
        <w:t>.</w:t>
      </w:r>
    </w:p>
    <w:p w:rsidR="0024765A" w:rsidRPr="003E5298" w:rsidRDefault="00B10C6D" w:rsidP="00E102A9">
      <w:pPr>
        <w:pStyle w:val="NoSpacing"/>
        <w:rPr>
          <w:rFonts w:asciiTheme="minorHAnsi" w:hAnsiTheme="minorHAnsi"/>
          <w:b/>
          <w:color w:val="0070C0"/>
          <w:sz w:val="24"/>
          <w:szCs w:val="24"/>
        </w:rPr>
      </w:pPr>
      <w:r w:rsidRPr="003E5298">
        <w:rPr>
          <w:rFonts w:asciiTheme="minorHAnsi" w:hAnsiTheme="minorHAnsi"/>
          <w:b/>
          <w:color w:val="0070C0"/>
          <w:sz w:val="24"/>
          <w:szCs w:val="24"/>
        </w:rPr>
        <w:t>Digital</w:t>
      </w:r>
      <w:r w:rsidR="0024765A" w:rsidRPr="003E5298">
        <w:rPr>
          <w:rFonts w:asciiTheme="minorHAnsi" w:hAnsiTheme="minorHAnsi"/>
          <w:b/>
          <w:color w:val="0070C0"/>
          <w:sz w:val="24"/>
          <w:szCs w:val="24"/>
        </w:rPr>
        <w:t xml:space="preserve"> Strategy</w:t>
      </w:r>
    </w:p>
    <w:p w:rsidR="00E102A9" w:rsidRPr="003E5298" w:rsidRDefault="00E102A9" w:rsidP="00E102A9">
      <w:pPr>
        <w:pStyle w:val="NoSpacing"/>
        <w:rPr>
          <w:rFonts w:asciiTheme="minorHAnsi" w:hAnsiTheme="minorHAnsi"/>
          <w:sz w:val="24"/>
          <w:szCs w:val="24"/>
        </w:rPr>
      </w:pPr>
    </w:p>
    <w:p w:rsidR="0057393A" w:rsidRDefault="00B10C6D" w:rsidP="0024765A">
      <w:pPr>
        <w:contextualSpacing/>
        <w:jc w:val="both"/>
        <w:rPr>
          <w:rFonts w:cs="Calibri"/>
          <w:bCs/>
          <w:sz w:val="24"/>
          <w:szCs w:val="24"/>
        </w:rPr>
      </w:pPr>
      <w:r w:rsidRPr="003E5298">
        <w:rPr>
          <w:rFonts w:cs="Calibri"/>
          <w:bCs/>
          <w:sz w:val="24"/>
          <w:szCs w:val="24"/>
        </w:rPr>
        <w:t>Court received and discussed an update from the DVC Strategy on the implementation of the Digital Strategy approved by Court in June 2016.</w:t>
      </w:r>
      <w:r w:rsidR="000C7B7E">
        <w:rPr>
          <w:rFonts w:cs="Calibri"/>
          <w:bCs/>
          <w:sz w:val="24"/>
          <w:szCs w:val="24"/>
        </w:rPr>
        <w:t xml:space="preserve"> This included progress with providing a new student information management system.</w:t>
      </w:r>
    </w:p>
    <w:p w:rsidR="005C50AB" w:rsidRDefault="005C50AB" w:rsidP="0024765A">
      <w:pPr>
        <w:contextualSpacing/>
        <w:jc w:val="both"/>
        <w:rPr>
          <w:rFonts w:cs="Calibri"/>
          <w:bCs/>
          <w:sz w:val="24"/>
          <w:szCs w:val="24"/>
        </w:rPr>
      </w:pPr>
    </w:p>
    <w:p w:rsidR="005C50AB" w:rsidRPr="003E5298" w:rsidRDefault="005C50AB" w:rsidP="0024765A">
      <w:pPr>
        <w:contextualSpacing/>
        <w:jc w:val="both"/>
        <w:rPr>
          <w:rFonts w:cs="Calibri"/>
          <w:bCs/>
          <w:sz w:val="24"/>
          <w:szCs w:val="24"/>
        </w:rPr>
      </w:pPr>
    </w:p>
    <w:p w:rsidR="00E3216E" w:rsidRPr="003E5298" w:rsidRDefault="00E3216E" w:rsidP="00E3216E">
      <w:pPr>
        <w:pStyle w:val="NoSpacing"/>
        <w:jc w:val="both"/>
        <w:rPr>
          <w:rFonts w:asciiTheme="minorHAnsi" w:hAnsiTheme="minorHAnsi" w:cs="Calibri"/>
          <w:b/>
          <w:color w:val="0070C0"/>
          <w:sz w:val="24"/>
          <w:szCs w:val="24"/>
        </w:rPr>
      </w:pPr>
      <w:r w:rsidRPr="003E5298">
        <w:rPr>
          <w:rFonts w:asciiTheme="minorHAnsi" w:hAnsiTheme="minorHAnsi" w:cs="Calibri"/>
          <w:b/>
          <w:color w:val="0070C0"/>
          <w:sz w:val="24"/>
          <w:szCs w:val="24"/>
        </w:rPr>
        <w:lastRenderedPageBreak/>
        <w:t>Interim Update on African Leadership College Partnership</w:t>
      </w:r>
    </w:p>
    <w:p w:rsidR="00E3216E" w:rsidRPr="003E5298" w:rsidRDefault="00E3216E" w:rsidP="0024765A">
      <w:pPr>
        <w:contextualSpacing/>
        <w:jc w:val="both"/>
        <w:rPr>
          <w:rFonts w:cs="Calibri"/>
          <w:sz w:val="24"/>
          <w:szCs w:val="24"/>
        </w:rPr>
      </w:pPr>
    </w:p>
    <w:p w:rsidR="00E3216E" w:rsidRPr="003E5298" w:rsidRDefault="00E3216E" w:rsidP="0024765A">
      <w:pPr>
        <w:contextualSpacing/>
        <w:jc w:val="both"/>
        <w:rPr>
          <w:rFonts w:cs="Calibri"/>
          <w:sz w:val="24"/>
          <w:szCs w:val="24"/>
        </w:rPr>
      </w:pPr>
      <w:r w:rsidRPr="003E5298">
        <w:rPr>
          <w:rFonts w:cs="Calibri"/>
          <w:bCs/>
          <w:sz w:val="24"/>
          <w:szCs w:val="24"/>
        </w:rPr>
        <w:t>Court received and discussed a progress update from the DVC Academic on the partnership between the African Leadership College (ALC) and GCU. The DVC Academic advised that the first degree programmes had commenced.</w:t>
      </w:r>
    </w:p>
    <w:p w:rsidR="00E3216E" w:rsidRPr="003E5298" w:rsidRDefault="00E3216E" w:rsidP="0024765A">
      <w:pPr>
        <w:contextualSpacing/>
        <w:jc w:val="both"/>
        <w:rPr>
          <w:rFonts w:cs="Calibri"/>
          <w:b/>
          <w:color w:val="0070C0"/>
          <w:sz w:val="24"/>
          <w:szCs w:val="24"/>
        </w:rPr>
      </w:pPr>
    </w:p>
    <w:p w:rsidR="00E3216E" w:rsidRPr="003E5298" w:rsidRDefault="00E3216E" w:rsidP="0024765A">
      <w:pPr>
        <w:contextualSpacing/>
        <w:jc w:val="both"/>
        <w:rPr>
          <w:rFonts w:cs="Calibri"/>
          <w:color w:val="0070C0"/>
          <w:sz w:val="24"/>
          <w:szCs w:val="24"/>
        </w:rPr>
      </w:pPr>
      <w:r w:rsidRPr="003E5298">
        <w:rPr>
          <w:rFonts w:cs="Calibri"/>
          <w:b/>
          <w:color w:val="0070C0"/>
          <w:sz w:val="24"/>
          <w:szCs w:val="24"/>
        </w:rPr>
        <w:t xml:space="preserve">Tanzania Project </w:t>
      </w:r>
    </w:p>
    <w:p w:rsidR="00E3216E" w:rsidRPr="003E5298" w:rsidRDefault="00E3216E" w:rsidP="0024765A">
      <w:pPr>
        <w:contextualSpacing/>
        <w:jc w:val="both"/>
        <w:rPr>
          <w:rFonts w:cs="Calibri"/>
          <w:sz w:val="24"/>
          <w:szCs w:val="24"/>
        </w:rPr>
      </w:pPr>
    </w:p>
    <w:p w:rsidR="00E3216E" w:rsidRPr="003E5298" w:rsidRDefault="00E3216E" w:rsidP="0024765A">
      <w:pPr>
        <w:contextualSpacing/>
        <w:jc w:val="both"/>
        <w:rPr>
          <w:rFonts w:eastAsia="Calibri" w:cstheme="minorHAnsi"/>
          <w:sz w:val="24"/>
          <w:szCs w:val="24"/>
        </w:rPr>
      </w:pPr>
      <w:r w:rsidRPr="003E5298">
        <w:rPr>
          <w:rFonts w:cs="Calibri"/>
          <w:sz w:val="24"/>
          <w:szCs w:val="24"/>
        </w:rPr>
        <w:t xml:space="preserve">Court received and discussed an update report from the Director of the School of Work-Based Education on the opportunity to deliver nursing education in Tanzania through </w:t>
      </w:r>
      <w:r w:rsidR="005C50AB">
        <w:rPr>
          <w:rFonts w:cs="Calibri"/>
          <w:sz w:val="24"/>
          <w:szCs w:val="24"/>
        </w:rPr>
        <w:t xml:space="preserve">a partnership which included the prospect of </w:t>
      </w:r>
      <w:r w:rsidRPr="003E5298">
        <w:rPr>
          <w:rFonts w:cs="Calibri"/>
          <w:sz w:val="24"/>
          <w:szCs w:val="24"/>
        </w:rPr>
        <w:t>partial philanthropic investment.</w:t>
      </w:r>
    </w:p>
    <w:p w:rsidR="001D4629" w:rsidRPr="003E5298" w:rsidRDefault="001D4629" w:rsidP="001D4629">
      <w:pPr>
        <w:pStyle w:val="NoSpacing"/>
        <w:jc w:val="both"/>
        <w:rPr>
          <w:rFonts w:asciiTheme="minorHAnsi" w:hAnsiTheme="minorHAnsi" w:cs="Calibri"/>
          <w:b/>
          <w:color w:val="0070C0"/>
          <w:sz w:val="24"/>
          <w:szCs w:val="24"/>
        </w:rPr>
      </w:pPr>
      <w:r w:rsidRPr="003E5298">
        <w:rPr>
          <w:rFonts w:asciiTheme="minorHAnsi" w:hAnsiTheme="minorHAnsi" w:cs="Calibri"/>
          <w:b/>
          <w:color w:val="0070C0"/>
          <w:sz w:val="24"/>
          <w:szCs w:val="24"/>
        </w:rPr>
        <w:t>HESA Performance Indicators 2017</w:t>
      </w:r>
    </w:p>
    <w:p w:rsidR="001D4629" w:rsidRPr="003E5298" w:rsidRDefault="001D4629" w:rsidP="001D4629">
      <w:pPr>
        <w:pStyle w:val="NoSpacing"/>
        <w:jc w:val="both"/>
        <w:rPr>
          <w:rFonts w:asciiTheme="minorHAnsi" w:hAnsiTheme="minorHAnsi" w:cs="Calibri"/>
          <w:b/>
          <w:sz w:val="24"/>
          <w:szCs w:val="24"/>
        </w:rPr>
      </w:pPr>
    </w:p>
    <w:p w:rsidR="001D4629" w:rsidRPr="003E5298" w:rsidRDefault="001D4629" w:rsidP="001D4629">
      <w:pPr>
        <w:pStyle w:val="NoSpacing"/>
        <w:jc w:val="both"/>
        <w:rPr>
          <w:rFonts w:asciiTheme="minorHAnsi" w:hAnsiTheme="minorHAnsi" w:cs="Calibri"/>
          <w:b/>
          <w:sz w:val="24"/>
          <w:szCs w:val="24"/>
        </w:rPr>
      </w:pPr>
      <w:r w:rsidRPr="003E5298">
        <w:rPr>
          <w:rFonts w:asciiTheme="minorHAnsi" w:hAnsiTheme="minorHAnsi" w:cs="Calibri"/>
          <w:sz w:val="24"/>
          <w:szCs w:val="24"/>
        </w:rPr>
        <w:t xml:space="preserve">Court noted that an analysis of the HESA performance indicators demonstrated that the University had continued to perform well in comparison to </w:t>
      </w:r>
      <w:r w:rsidR="005C50AB">
        <w:rPr>
          <w:rFonts w:asciiTheme="minorHAnsi" w:hAnsiTheme="minorHAnsi" w:cs="Calibri"/>
          <w:sz w:val="24"/>
          <w:szCs w:val="24"/>
        </w:rPr>
        <w:t xml:space="preserve">the </w:t>
      </w:r>
      <w:r w:rsidRPr="003E5298">
        <w:rPr>
          <w:rFonts w:asciiTheme="minorHAnsi" w:hAnsiTheme="minorHAnsi" w:cs="Calibri"/>
          <w:sz w:val="24"/>
          <w:szCs w:val="24"/>
        </w:rPr>
        <w:t>overall sector in Scotland.</w:t>
      </w:r>
      <w:r w:rsidR="005C50AB">
        <w:rPr>
          <w:rFonts w:asciiTheme="minorHAnsi" w:hAnsiTheme="minorHAnsi" w:cs="Calibri"/>
          <w:sz w:val="24"/>
          <w:szCs w:val="24"/>
        </w:rPr>
        <w:t xml:space="preserve">  However, SFC investment in old universities’ activity to widen access meant that the University’s own work needed sustained energy and momentum.</w:t>
      </w:r>
    </w:p>
    <w:p w:rsidR="001D4629" w:rsidRPr="003E5298" w:rsidRDefault="001D4629" w:rsidP="001D4629">
      <w:pPr>
        <w:pStyle w:val="NoSpacing"/>
        <w:jc w:val="both"/>
        <w:rPr>
          <w:rFonts w:asciiTheme="minorHAnsi" w:hAnsiTheme="minorHAnsi" w:cs="Calibri"/>
          <w:b/>
          <w:sz w:val="24"/>
          <w:szCs w:val="24"/>
        </w:rPr>
      </w:pPr>
    </w:p>
    <w:p w:rsidR="001D4629" w:rsidRPr="003E5298" w:rsidRDefault="001D4629" w:rsidP="001D4629">
      <w:pPr>
        <w:pStyle w:val="NoSpacing"/>
        <w:jc w:val="both"/>
        <w:rPr>
          <w:rFonts w:asciiTheme="minorHAnsi" w:hAnsiTheme="minorHAnsi" w:cs="Calibri"/>
          <w:b/>
          <w:color w:val="0070C0"/>
          <w:sz w:val="24"/>
          <w:szCs w:val="24"/>
        </w:rPr>
      </w:pPr>
      <w:r w:rsidRPr="003E5298">
        <w:rPr>
          <w:rFonts w:asciiTheme="minorHAnsi" w:hAnsiTheme="minorHAnsi" w:cs="Calibri"/>
          <w:b/>
          <w:color w:val="0070C0"/>
          <w:sz w:val="24"/>
          <w:szCs w:val="24"/>
        </w:rPr>
        <w:t>THE Young Universities Rankings 2017</w:t>
      </w:r>
    </w:p>
    <w:p w:rsidR="001D4629" w:rsidRPr="003E5298" w:rsidRDefault="001D4629" w:rsidP="001D4629">
      <w:pPr>
        <w:pStyle w:val="NoSpacing"/>
        <w:jc w:val="both"/>
        <w:rPr>
          <w:rFonts w:asciiTheme="minorHAnsi" w:hAnsiTheme="minorHAnsi" w:cs="Calibri"/>
          <w:b/>
          <w:sz w:val="24"/>
          <w:szCs w:val="24"/>
        </w:rPr>
      </w:pPr>
    </w:p>
    <w:p w:rsidR="001D4629" w:rsidRPr="003E5298" w:rsidRDefault="001D4629">
      <w:pPr>
        <w:rPr>
          <w:rFonts w:cs="Calibri"/>
          <w:sz w:val="24"/>
          <w:szCs w:val="24"/>
        </w:rPr>
      </w:pPr>
      <w:r w:rsidRPr="003E5298">
        <w:rPr>
          <w:rFonts w:cs="Calibri"/>
          <w:sz w:val="24"/>
          <w:szCs w:val="24"/>
        </w:rPr>
        <w:t>Court members welcomed the news that GCU had been ranked within the top 150 of the best young universities in the world and was one of only four Scottish Universities that had appeared in the rankings.</w:t>
      </w:r>
    </w:p>
    <w:p w:rsidR="005E50D7" w:rsidRPr="003E5298" w:rsidRDefault="005E50D7" w:rsidP="00101CE0">
      <w:pPr>
        <w:jc w:val="both"/>
        <w:rPr>
          <w:rFonts w:cstheme="minorHAnsi"/>
          <w:b/>
          <w:color w:val="0070C0"/>
          <w:sz w:val="24"/>
          <w:szCs w:val="24"/>
        </w:rPr>
      </w:pPr>
      <w:r w:rsidRPr="003E5298">
        <w:rPr>
          <w:rFonts w:cstheme="minorHAnsi"/>
          <w:b/>
          <w:color w:val="0070C0"/>
          <w:sz w:val="24"/>
          <w:szCs w:val="24"/>
        </w:rPr>
        <w:t xml:space="preserve">Regular Updates  </w:t>
      </w:r>
    </w:p>
    <w:p w:rsidR="000A42EF" w:rsidRPr="003E5298" w:rsidRDefault="005E50D7" w:rsidP="000A42EF">
      <w:pPr>
        <w:jc w:val="both"/>
        <w:rPr>
          <w:rFonts w:cstheme="minorHAnsi"/>
          <w:sz w:val="24"/>
          <w:szCs w:val="24"/>
        </w:rPr>
      </w:pPr>
      <w:r w:rsidRPr="003E5298">
        <w:rPr>
          <w:rFonts w:cstheme="minorHAnsi"/>
          <w:sz w:val="24"/>
          <w:szCs w:val="24"/>
        </w:rPr>
        <w:t xml:space="preserve">The following </w:t>
      </w:r>
      <w:r w:rsidR="0042480C">
        <w:rPr>
          <w:rFonts w:cstheme="minorHAnsi"/>
          <w:sz w:val="24"/>
          <w:szCs w:val="24"/>
        </w:rPr>
        <w:t xml:space="preserve">regular </w:t>
      </w:r>
      <w:r w:rsidRPr="003E5298">
        <w:rPr>
          <w:rFonts w:cstheme="minorHAnsi"/>
          <w:sz w:val="24"/>
          <w:szCs w:val="24"/>
        </w:rPr>
        <w:t xml:space="preserve">reports are submitted to each </w:t>
      </w:r>
      <w:r w:rsidR="004A6DC3" w:rsidRPr="003E5298">
        <w:rPr>
          <w:rFonts w:cstheme="minorHAnsi"/>
          <w:sz w:val="24"/>
          <w:szCs w:val="24"/>
        </w:rPr>
        <w:t>C</w:t>
      </w:r>
      <w:r w:rsidRPr="003E5298">
        <w:rPr>
          <w:rFonts w:cstheme="minorHAnsi"/>
          <w:sz w:val="24"/>
          <w:szCs w:val="24"/>
        </w:rPr>
        <w:t>ourt</w:t>
      </w:r>
      <w:r w:rsidR="00DF45F8">
        <w:rPr>
          <w:rFonts w:cstheme="minorHAnsi"/>
          <w:sz w:val="24"/>
          <w:szCs w:val="24"/>
        </w:rPr>
        <w:t xml:space="preserve"> meeting.</w:t>
      </w:r>
      <w:r w:rsidRPr="003E5298">
        <w:rPr>
          <w:rFonts w:cstheme="minorHAnsi"/>
          <w:sz w:val="24"/>
          <w:szCs w:val="24"/>
        </w:rPr>
        <w:t xml:space="preserve"> </w:t>
      </w:r>
    </w:p>
    <w:p w:rsidR="005E50D7" w:rsidRPr="003E5298" w:rsidRDefault="005E50D7" w:rsidP="000A42EF">
      <w:pPr>
        <w:pStyle w:val="ListParagraph"/>
        <w:numPr>
          <w:ilvl w:val="0"/>
          <w:numId w:val="10"/>
        </w:numPr>
        <w:ind w:left="426" w:hanging="426"/>
        <w:jc w:val="both"/>
        <w:rPr>
          <w:rFonts w:asciiTheme="minorHAnsi" w:hAnsiTheme="minorHAnsi" w:cstheme="minorHAnsi"/>
          <w:b/>
          <w:color w:val="0070C0"/>
          <w:sz w:val="24"/>
          <w:szCs w:val="24"/>
        </w:rPr>
      </w:pPr>
      <w:r w:rsidRPr="003E5298">
        <w:rPr>
          <w:rFonts w:asciiTheme="minorHAnsi" w:hAnsiTheme="minorHAnsi" w:cstheme="minorHAnsi"/>
          <w:b/>
          <w:color w:val="0070C0"/>
          <w:sz w:val="24"/>
          <w:szCs w:val="24"/>
        </w:rPr>
        <w:t>Chair of Court’s Report</w:t>
      </w:r>
    </w:p>
    <w:p w:rsidR="000A42EF" w:rsidRDefault="000A42EF" w:rsidP="00FC3BF6">
      <w:pPr>
        <w:pStyle w:val="NoSpacing"/>
      </w:pPr>
    </w:p>
    <w:p w:rsidR="00DF45F8" w:rsidRPr="00DF45F8" w:rsidRDefault="00FC3BF6" w:rsidP="00DF45F8">
      <w:pPr>
        <w:jc w:val="both"/>
        <w:rPr>
          <w:rFonts w:cs="Arial"/>
          <w:sz w:val="24"/>
          <w:szCs w:val="24"/>
        </w:rPr>
      </w:pPr>
      <w:r w:rsidRPr="00DF45F8">
        <w:rPr>
          <w:sz w:val="24"/>
          <w:szCs w:val="24"/>
        </w:rPr>
        <w:t>The report</w:t>
      </w:r>
      <w:r w:rsidR="00DF45F8">
        <w:rPr>
          <w:sz w:val="24"/>
          <w:szCs w:val="24"/>
        </w:rPr>
        <w:t xml:space="preserve"> provide</w:t>
      </w:r>
      <w:r w:rsidR="0042480C">
        <w:rPr>
          <w:sz w:val="24"/>
          <w:szCs w:val="24"/>
        </w:rPr>
        <w:t>d</w:t>
      </w:r>
      <w:r w:rsidR="00DF45F8">
        <w:rPr>
          <w:sz w:val="24"/>
          <w:szCs w:val="24"/>
        </w:rPr>
        <w:t xml:space="preserve"> a summary of </w:t>
      </w:r>
      <w:r w:rsidRPr="00DF45F8">
        <w:rPr>
          <w:sz w:val="24"/>
          <w:szCs w:val="24"/>
        </w:rPr>
        <w:t>activities the Chair of Court had undertaken and meetings she had attended on behalf of Court</w:t>
      </w:r>
      <w:r w:rsidR="00DF45F8" w:rsidRPr="00DF45F8">
        <w:rPr>
          <w:sz w:val="24"/>
          <w:szCs w:val="24"/>
        </w:rPr>
        <w:t xml:space="preserve"> including </w:t>
      </w:r>
      <w:r w:rsidR="00DF45F8">
        <w:rPr>
          <w:sz w:val="24"/>
          <w:szCs w:val="24"/>
        </w:rPr>
        <w:t>q</w:t>
      </w:r>
      <w:r w:rsidR="00DF45F8" w:rsidRPr="00DF45F8">
        <w:rPr>
          <w:rFonts w:cs="Arial"/>
          <w:sz w:val="24"/>
          <w:szCs w:val="24"/>
        </w:rPr>
        <w:t>uarterly meeting with the sabbatical officers of the Student Association and the Vice Chair of Court.  These meetings give the opportunity for the Chair and Vice Chair to hear at first-hand what the Association is doing and what the current issues are for students.</w:t>
      </w:r>
    </w:p>
    <w:p w:rsidR="00DF45F8" w:rsidRPr="006D5632" w:rsidRDefault="00DF45F8" w:rsidP="00DF45F8">
      <w:pPr>
        <w:pStyle w:val="NoSpacing"/>
        <w:rPr>
          <w:rFonts w:cs="Arial"/>
        </w:rPr>
      </w:pPr>
      <w:r w:rsidRPr="006D5632">
        <w:rPr>
          <w:rFonts w:cs="Arial"/>
        </w:rPr>
        <w:t xml:space="preserve"> </w:t>
      </w:r>
    </w:p>
    <w:p w:rsidR="00C25C32" w:rsidRPr="003E5298" w:rsidRDefault="00C25C32" w:rsidP="000A42EF">
      <w:pPr>
        <w:pStyle w:val="ListParagraph"/>
        <w:numPr>
          <w:ilvl w:val="0"/>
          <w:numId w:val="4"/>
        </w:numPr>
        <w:ind w:left="426" w:hanging="426"/>
        <w:jc w:val="both"/>
        <w:rPr>
          <w:rFonts w:asciiTheme="minorHAnsi" w:hAnsiTheme="minorHAnsi" w:cstheme="minorHAnsi"/>
          <w:b/>
          <w:color w:val="0070C0"/>
          <w:sz w:val="24"/>
          <w:szCs w:val="24"/>
        </w:rPr>
      </w:pPr>
      <w:r w:rsidRPr="003E5298">
        <w:rPr>
          <w:rFonts w:asciiTheme="minorHAnsi" w:hAnsiTheme="minorHAnsi" w:cstheme="minorHAnsi"/>
          <w:b/>
          <w:color w:val="0070C0"/>
          <w:sz w:val="24"/>
          <w:szCs w:val="24"/>
        </w:rPr>
        <w:t>Principal</w:t>
      </w:r>
      <w:r w:rsidR="00985876" w:rsidRPr="003E5298">
        <w:rPr>
          <w:rFonts w:asciiTheme="minorHAnsi" w:hAnsiTheme="minorHAnsi" w:cstheme="minorHAnsi"/>
          <w:b/>
          <w:color w:val="0070C0"/>
          <w:sz w:val="24"/>
          <w:szCs w:val="24"/>
        </w:rPr>
        <w:t xml:space="preserve"> </w:t>
      </w:r>
      <w:r w:rsidRPr="003E5298">
        <w:rPr>
          <w:rFonts w:asciiTheme="minorHAnsi" w:hAnsiTheme="minorHAnsi" w:cstheme="minorHAnsi"/>
          <w:b/>
          <w:color w:val="0070C0"/>
          <w:sz w:val="24"/>
          <w:szCs w:val="24"/>
        </w:rPr>
        <w:t>&amp; Vice Chancellor &amp; Executive Board Report</w:t>
      </w:r>
    </w:p>
    <w:p w:rsidR="0057393A" w:rsidRDefault="0057393A" w:rsidP="0057393A">
      <w:pPr>
        <w:pStyle w:val="NoSpacing"/>
        <w:rPr>
          <w:rFonts w:asciiTheme="minorHAnsi" w:hAnsiTheme="minorHAnsi"/>
          <w:sz w:val="24"/>
          <w:szCs w:val="24"/>
        </w:rPr>
      </w:pPr>
    </w:p>
    <w:p w:rsidR="00FC3BF6" w:rsidRPr="00DF45F8" w:rsidRDefault="00FC3BF6" w:rsidP="00DF45F8">
      <w:pPr>
        <w:jc w:val="both"/>
        <w:rPr>
          <w:sz w:val="24"/>
          <w:szCs w:val="24"/>
        </w:rPr>
      </w:pPr>
      <w:r w:rsidRPr="00DF45F8">
        <w:rPr>
          <w:sz w:val="24"/>
          <w:szCs w:val="24"/>
        </w:rPr>
        <w:t xml:space="preserve">The report </w:t>
      </w:r>
      <w:r w:rsidR="00DF45F8" w:rsidRPr="00DF45F8">
        <w:rPr>
          <w:sz w:val="24"/>
          <w:szCs w:val="24"/>
        </w:rPr>
        <w:t>provided a summary of substantive items considered by the Executive Board since the previous Court meeting in February 2017</w:t>
      </w:r>
      <w:r w:rsidR="0042480C">
        <w:rPr>
          <w:sz w:val="24"/>
          <w:szCs w:val="24"/>
        </w:rPr>
        <w:t xml:space="preserve"> including progress on international activities;</w:t>
      </w:r>
      <w:r w:rsidR="00DF45F8" w:rsidRPr="00DF45F8">
        <w:rPr>
          <w:sz w:val="24"/>
          <w:szCs w:val="24"/>
        </w:rPr>
        <w:t xml:space="preserve"> </w:t>
      </w:r>
      <w:r w:rsidR="005C50AB">
        <w:rPr>
          <w:sz w:val="24"/>
          <w:szCs w:val="24"/>
        </w:rPr>
        <w:t xml:space="preserve"> </w:t>
      </w:r>
      <w:r w:rsidR="008543AC">
        <w:rPr>
          <w:sz w:val="24"/>
          <w:szCs w:val="24"/>
        </w:rPr>
        <w:t>g</w:t>
      </w:r>
      <w:r w:rsidR="005C50AB">
        <w:rPr>
          <w:sz w:val="24"/>
          <w:szCs w:val="24"/>
        </w:rPr>
        <w:t xml:space="preserve">overnment funding plans for HE and </w:t>
      </w:r>
      <w:r w:rsidR="00DF45F8" w:rsidRPr="00DF45F8">
        <w:rPr>
          <w:sz w:val="24"/>
          <w:szCs w:val="24"/>
        </w:rPr>
        <w:t>issues arising in the external environment which impact on GCU</w:t>
      </w:r>
      <w:r w:rsidR="00295A1E">
        <w:rPr>
          <w:sz w:val="24"/>
          <w:szCs w:val="24"/>
        </w:rPr>
        <w:t xml:space="preserve"> and University activities and events</w:t>
      </w:r>
      <w:r w:rsidR="00DF45F8" w:rsidRPr="00DF45F8">
        <w:rPr>
          <w:sz w:val="24"/>
          <w:szCs w:val="24"/>
        </w:rPr>
        <w:t>.</w:t>
      </w:r>
    </w:p>
    <w:p w:rsidR="00FC3BF6" w:rsidRPr="003E5298" w:rsidRDefault="00FC3BF6" w:rsidP="0057393A">
      <w:pPr>
        <w:pStyle w:val="NoSpacing"/>
        <w:rPr>
          <w:rFonts w:asciiTheme="minorHAnsi" w:hAnsiTheme="minorHAnsi"/>
          <w:sz w:val="24"/>
          <w:szCs w:val="24"/>
        </w:rPr>
      </w:pPr>
    </w:p>
    <w:p w:rsidR="00640B34" w:rsidRPr="003E5298" w:rsidRDefault="000D513E" w:rsidP="00FC3BF6">
      <w:pPr>
        <w:pStyle w:val="ListParagraph"/>
        <w:numPr>
          <w:ilvl w:val="0"/>
          <w:numId w:val="4"/>
        </w:numPr>
        <w:ind w:left="426" w:hanging="426"/>
        <w:jc w:val="both"/>
        <w:rPr>
          <w:rFonts w:asciiTheme="minorHAnsi" w:hAnsiTheme="minorHAnsi" w:cstheme="minorHAnsi"/>
          <w:b/>
          <w:color w:val="0070C0"/>
          <w:sz w:val="24"/>
          <w:szCs w:val="24"/>
        </w:rPr>
      </w:pPr>
      <w:r w:rsidRPr="003E5298">
        <w:rPr>
          <w:rFonts w:asciiTheme="minorHAnsi" w:hAnsiTheme="minorHAnsi" w:cstheme="minorHAnsi"/>
          <w:b/>
          <w:color w:val="0070C0"/>
          <w:sz w:val="24"/>
          <w:szCs w:val="24"/>
        </w:rPr>
        <w:lastRenderedPageBreak/>
        <w:t>U</w:t>
      </w:r>
      <w:r w:rsidR="002461A7" w:rsidRPr="003E5298">
        <w:rPr>
          <w:rFonts w:asciiTheme="minorHAnsi" w:hAnsiTheme="minorHAnsi" w:cstheme="minorHAnsi"/>
          <w:b/>
          <w:color w:val="0070C0"/>
          <w:sz w:val="24"/>
          <w:szCs w:val="24"/>
        </w:rPr>
        <w:t>niversity Secretary’s Report</w:t>
      </w:r>
    </w:p>
    <w:p w:rsidR="00036AEC" w:rsidRPr="003E5298" w:rsidRDefault="00036AEC" w:rsidP="00036AEC">
      <w:pPr>
        <w:pStyle w:val="NoSpacing"/>
        <w:rPr>
          <w:rFonts w:asciiTheme="minorHAnsi" w:hAnsiTheme="minorHAnsi"/>
          <w:sz w:val="24"/>
          <w:szCs w:val="24"/>
        </w:rPr>
      </w:pPr>
    </w:p>
    <w:p w:rsidR="00702921" w:rsidRDefault="002461A7" w:rsidP="00702921">
      <w:pPr>
        <w:jc w:val="both"/>
        <w:rPr>
          <w:rFonts w:cstheme="minorHAnsi"/>
          <w:sz w:val="24"/>
          <w:szCs w:val="24"/>
        </w:rPr>
      </w:pPr>
      <w:r w:rsidRPr="003E5298">
        <w:rPr>
          <w:rFonts w:cstheme="minorHAnsi"/>
          <w:sz w:val="24"/>
          <w:szCs w:val="24"/>
        </w:rPr>
        <w:t xml:space="preserve">The report </w:t>
      </w:r>
      <w:r w:rsidR="0042480C">
        <w:rPr>
          <w:rFonts w:cstheme="minorHAnsi"/>
          <w:sz w:val="24"/>
          <w:szCs w:val="24"/>
        </w:rPr>
        <w:t>provided</w:t>
      </w:r>
      <w:r w:rsidR="00615E13" w:rsidRPr="003E5298">
        <w:rPr>
          <w:rFonts w:cstheme="minorHAnsi"/>
          <w:sz w:val="24"/>
          <w:szCs w:val="24"/>
        </w:rPr>
        <w:t xml:space="preserve"> a summary</w:t>
      </w:r>
      <w:r w:rsidR="00A00059" w:rsidRPr="003E5298">
        <w:rPr>
          <w:rFonts w:cstheme="minorHAnsi"/>
          <w:sz w:val="24"/>
          <w:szCs w:val="24"/>
        </w:rPr>
        <w:t xml:space="preserve"> of</w:t>
      </w:r>
      <w:r w:rsidR="00615E13" w:rsidRPr="003E5298">
        <w:rPr>
          <w:rFonts w:cstheme="minorHAnsi"/>
          <w:sz w:val="24"/>
          <w:szCs w:val="24"/>
        </w:rPr>
        <w:t xml:space="preserve"> work relating to areas of governance</w:t>
      </w:r>
      <w:r w:rsidR="00FC3BF6">
        <w:rPr>
          <w:rFonts w:cstheme="minorHAnsi"/>
          <w:sz w:val="24"/>
          <w:szCs w:val="24"/>
        </w:rPr>
        <w:t xml:space="preserve"> and</w:t>
      </w:r>
      <w:r w:rsidR="00615E13" w:rsidRPr="003E5298">
        <w:rPr>
          <w:rFonts w:cstheme="minorHAnsi"/>
          <w:sz w:val="24"/>
          <w:szCs w:val="24"/>
        </w:rPr>
        <w:t xml:space="preserve"> </w:t>
      </w:r>
      <w:r w:rsidR="00CC5F51" w:rsidRPr="003E5298">
        <w:rPr>
          <w:rFonts w:cstheme="minorHAnsi"/>
          <w:sz w:val="24"/>
          <w:szCs w:val="24"/>
        </w:rPr>
        <w:t>legislative changes pertinent to the work of Court and the University</w:t>
      </w:r>
      <w:r w:rsidR="00FC3BF6">
        <w:rPr>
          <w:rFonts w:cstheme="minorHAnsi"/>
          <w:sz w:val="24"/>
          <w:szCs w:val="24"/>
        </w:rPr>
        <w:t xml:space="preserve"> including progress on the process for conducting the Court and Senate Effectiveness reviews and progress on the amendments to the University’s statutory instrument required to conform to the provisions of the Higher Education (Scotland) Governance Act 2016. </w:t>
      </w:r>
      <w:r w:rsidR="00CC5F51" w:rsidRPr="003E5298">
        <w:rPr>
          <w:rFonts w:cstheme="minorHAnsi"/>
          <w:sz w:val="24"/>
          <w:szCs w:val="24"/>
        </w:rPr>
        <w:t xml:space="preserve"> </w:t>
      </w:r>
    </w:p>
    <w:p w:rsidR="000A42EF" w:rsidRPr="0042480C" w:rsidRDefault="000A42EF" w:rsidP="0042480C">
      <w:pPr>
        <w:pStyle w:val="ListParagraph"/>
        <w:numPr>
          <w:ilvl w:val="0"/>
          <w:numId w:val="4"/>
        </w:numPr>
        <w:ind w:left="426" w:hanging="426"/>
        <w:jc w:val="both"/>
        <w:rPr>
          <w:rFonts w:asciiTheme="minorHAnsi" w:hAnsiTheme="minorHAnsi" w:cstheme="minorHAnsi"/>
          <w:b/>
          <w:color w:val="0070C0"/>
          <w:sz w:val="24"/>
          <w:szCs w:val="24"/>
        </w:rPr>
      </w:pPr>
      <w:r w:rsidRPr="0042480C">
        <w:rPr>
          <w:rFonts w:asciiTheme="minorHAnsi" w:hAnsiTheme="minorHAnsi" w:cstheme="minorHAnsi"/>
          <w:b/>
          <w:color w:val="0070C0"/>
          <w:sz w:val="24"/>
          <w:szCs w:val="24"/>
        </w:rPr>
        <w:t>Senate Report</w:t>
      </w:r>
    </w:p>
    <w:p w:rsidR="000A42EF" w:rsidRPr="003E5298" w:rsidRDefault="000A42EF" w:rsidP="000A42EF">
      <w:pPr>
        <w:pStyle w:val="NoSpacing"/>
        <w:rPr>
          <w:rFonts w:asciiTheme="minorHAnsi" w:hAnsiTheme="minorHAnsi"/>
          <w:sz w:val="24"/>
          <w:szCs w:val="24"/>
        </w:rPr>
      </w:pPr>
    </w:p>
    <w:p w:rsidR="000A42EF" w:rsidRPr="003E5298" w:rsidRDefault="000A42EF" w:rsidP="000A42EF">
      <w:pPr>
        <w:jc w:val="both"/>
        <w:rPr>
          <w:rFonts w:cstheme="minorHAnsi"/>
          <w:sz w:val="24"/>
          <w:szCs w:val="24"/>
        </w:rPr>
      </w:pPr>
      <w:r w:rsidRPr="003E5298">
        <w:rPr>
          <w:rFonts w:cstheme="minorHAnsi"/>
          <w:sz w:val="24"/>
          <w:szCs w:val="24"/>
        </w:rPr>
        <w:t xml:space="preserve">Court noted a </w:t>
      </w:r>
      <w:r w:rsidR="005C50AB">
        <w:rPr>
          <w:rFonts w:cstheme="minorHAnsi"/>
          <w:sz w:val="24"/>
          <w:szCs w:val="24"/>
        </w:rPr>
        <w:t xml:space="preserve">highlights </w:t>
      </w:r>
      <w:r w:rsidRPr="003E5298">
        <w:rPr>
          <w:rFonts w:cstheme="minorHAnsi"/>
          <w:sz w:val="24"/>
          <w:szCs w:val="24"/>
        </w:rPr>
        <w:t>report on the substantive items discussed at the meeting of Senate on</w:t>
      </w:r>
      <w:r w:rsidR="00FC3BF6">
        <w:rPr>
          <w:rFonts w:cstheme="minorHAnsi"/>
          <w:sz w:val="24"/>
          <w:szCs w:val="24"/>
        </w:rPr>
        <w:t xml:space="preserve"> 24</w:t>
      </w:r>
      <w:r w:rsidR="00FC3BF6" w:rsidRPr="00FC3BF6">
        <w:rPr>
          <w:rFonts w:cstheme="minorHAnsi"/>
          <w:sz w:val="24"/>
          <w:szCs w:val="24"/>
          <w:vertAlign w:val="superscript"/>
        </w:rPr>
        <w:t>th</w:t>
      </w:r>
      <w:r w:rsidR="00FC3BF6">
        <w:rPr>
          <w:rFonts w:cstheme="minorHAnsi"/>
          <w:sz w:val="24"/>
          <w:szCs w:val="24"/>
        </w:rPr>
        <w:t xml:space="preserve"> February 2017</w:t>
      </w:r>
      <w:r w:rsidRPr="003E5298">
        <w:rPr>
          <w:rFonts w:cstheme="minorHAnsi"/>
          <w:sz w:val="24"/>
          <w:szCs w:val="24"/>
        </w:rPr>
        <w:t>.</w:t>
      </w:r>
    </w:p>
    <w:p w:rsidR="00AD02A7" w:rsidRDefault="00A00059" w:rsidP="0042480C">
      <w:pPr>
        <w:pStyle w:val="ListParagraph"/>
        <w:numPr>
          <w:ilvl w:val="0"/>
          <w:numId w:val="4"/>
        </w:numPr>
        <w:ind w:left="426" w:hanging="426"/>
        <w:jc w:val="both"/>
        <w:rPr>
          <w:rFonts w:asciiTheme="minorHAnsi" w:hAnsiTheme="minorHAnsi" w:cstheme="minorHAnsi"/>
          <w:b/>
          <w:color w:val="0070C0"/>
          <w:sz w:val="24"/>
          <w:szCs w:val="24"/>
        </w:rPr>
      </w:pPr>
      <w:r w:rsidRPr="00FC3BF6">
        <w:rPr>
          <w:rFonts w:asciiTheme="minorHAnsi" w:hAnsiTheme="minorHAnsi" w:cstheme="minorHAnsi"/>
          <w:b/>
          <w:color w:val="0070C0"/>
          <w:sz w:val="24"/>
          <w:szCs w:val="24"/>
        </w:rPr>
        <w:t xml:space="preserve">Reports from </w:t>
      </w:r>
      <w:r w:rsidR="007B4FC2" w:rsidRPr="00FC3BF6">
        <w:rPr>
          <w:rFonts w:asciiTheme="minorHAnsi" w:hAnsiTheme="minorHAnsi" w:cstheme="minorHAnsi"/>
          <w:b/>
          <w:color w:val="0070C0"/>
          <w:sz w:val="24"/>
          <w:szCs w:val="24"/>
        </w:rPr>
        <w:t>Court</w:t>
      </w:r>
      <w:r w:rsidRPr="00FC3BF6">
        <w:rPr>
          <w:rFonts w:asciiTheme="minorHAnsi" w:hAnsiTheme="minorHAnsi" w:cstheme="minorHAnsi"/>
          <w:b/>
          <w:color w:val="0070C0"/>
          <w:sz w:val="24"/>
          <w:szCs w:val="24"/>
        </w:rPr>
        <w:t xml:space="preserve"> Standing Committees</w:t>
      </w:r>
    </w:p>
    <w:p w:rsidR="00FC3BF6" w:rsidRPr="00FC3BF6" w:rsidRDefault="00FC3BF6" w:rsidP="0042480C">
      <w:pPr>
        <w:pStyle w:val="NoSpacing"/>
      </w:pPr>
    </w:p>
    <w:p w:rsidR="0091551C" w:rsidRPr="003E5298" w:rsidRDefault="007E57CF" w:rsidP="00101CE0">
      <w:pPr>
        <w:pStyle w:val="NoSpacing"/>
        <w:jc w:val="both"/>
        <w:rPr>
          <w:rFonts w:asciiTheme="minorHAnsi" w:hAnsiTheme="minorHAnsi" w:cstheme="minorHAnsi"/>
          <w:sz w:val="24"/>
          <w:szCs w:val="24"/>
        </w:rPr>
      </w:pPr>
      <w:r w:rsidRPr="003E5298">
        <w:rPr>
          <w:rFonts w:asciiTheme="minorHAnsi" w:hAnsiTheme="minorHAnsi" w:cstheme="minorHAnsi"/>
          <w:sz w:val="24"/>
          <w:szCs w:val="24"/>
        </w:rPr>
        <w:t xml:space="preserve">Court noted </w:t>
      </w:r>
      <w:r w:rsidR="00C60CFC" w:rsidRPr="003E5298">
        <w:rPr>
          <w:rFonts w:asciiTheme="minorHAnsi" w:hAnsiTheme="minorHAnsi" w:cstheme="minorHAnsi"/>
          <w:sz w:val="24"/>
          <w:szCs w:val="24"/>
        </w:rPr>
        <w:t>rep</w:t>
      </w:r>
      <w:r w:rsidRPr="003E5298">
        <w:rPr>
          <w:rFonts w:asciiTheme="minorHAnsi" w:hAnsiTheme="minorHAnsi" w:cstheme="minorHAnsi"/>
          <w:sz w:val="24"/>
          <w:szCs w:val="24"/>
        </w:rPr>
        <w:t>ort</w:t>
      </w:r>
      <w:r w:rsidR="00C60CFC" w:rsidRPr="003E5298">
        <w:rPr>
          <w:rFonts w:asciiTheme="minorHAnsi" w:hAnsiTheme="minorHAnsi" w:cstheme="minorHAnsi"/>
          <w:sz w:val="24"/>
          <w:szCs w:val="24"/>
        </w:rPr>
        <w:t>s</w:t>
      </w:r>
      <w:r w:rsidRPr="003E5298">
        <w:rPr>
          <w:rFonts w:asciiTheme="minorHAnsi" w:hAnsiTheme="minorHAnsi" w:cstheme="minorHAnsi"/>
          <w:sz w:val="24"/>
          <w:szCs w:val="24"/>
        </w:rPr>
        <w:t xml:space="preserve"> </w:t>
      </w:r>
      <w:r w:rsidR="00C60CFC" w:rsidRPr="003E5298">
        <w:rPr>
          <w:rFonts w:asciiTheme="minorHAnsi" w:hAnsiTheme="minorHAnsi" w:cstheme="minorHAnsi"/>
          <w:sz w:val="24"/>
          <w:szCs w:val="24"/>
        </w:rPr>
        <w:t>from the Audit Committee,</w:t>
      </w:r>
      <w:r w:rsidR="00707B67" w:rsidRPr="003E5298">
        <w:rPr>
          <w:rFonts w:asciiTheme="minorHAnsi" w:hAnsiTheme="minorHAnsi" w:cstheme="minorHAnsi"/>
          <w:sz w:val="24"/>
          <w:szCs w:val="24"/>
        </w:rPr>
        <w:t xml:space="preserve"> </w:t>
      </w:r>
      <w:r w:rsidR="00E3726C" w:rsidRPr="003E5298">
        <w:rPr>
          <w:rFonts w:asciiTheme="minorHAnsi" w:hAnsiTheme="minorHAnsi" w:cstheme="minorHAnsi"/>
          <w:sz w:val="24"/>
          <w:szCs w:val="24"/>
        </w:rPr>
        <w:t>the</w:t>
      </w:r>
      <w:r w:rsidR="00707B67" w:rsidRPr="003E5298">
        <w:rPr>
          <w:rFonts w:asciiTheme="minorHAnsi" w:hAnsiTheme="minorHAnsi" w:cstheme="minorHAnsi"/>
          <w:sz w:val="24"/>
          <w:szCs w:val="24"/>
        </w:rPr>
        <w:t xml:space="preserve"> </w:t>
      </w:r>
      <w:r w:rsidR="00C60CFC" w:rsidRPr="003E5298">
        <w:rPr>
          <w:rFonts w:asciiTheme="minorHAnsi" w:hAnsiTheme="minorHAnsi" w:cstheme="minorHAnsi"/>
          <w:sz w:val="24"/>
          <w:szCs w:val="24"/>
        </w:rPr>
        <w:t>Finance &amp; General Purposes Committee</w:t>
      </w:r>
      <w:r w:rsidR="00702921" w:rsidRPr="003E5298">
        <w:rPr>
          <w:rFonts w:asciiTheme="minorHAnsi" w:hAnsiTheme="minorHAnsi" w:cstheme="minorHAnsi"/>
          <w:sz w:val="24"/>
          <w:szCs w:val="24"/>
        </w:rPr>
        <w:t>, the Health &amp; Safety Committee, Nominations Committee</w:t>
      </w:r>
      <w:r w:rsidR="00AA3B26" w:rsidRPr="003E5298">
        <w:rPr>
          <w:rFonts w:asciiTheme="minorHAnsi" w:hAnsiTheme="minorHAnsi" w:cstheme="minorHAnsi"/>
          <w:sz w:val="24"/>
          <w:szCs w:val="24"/>
        </w:rPr>
        <w:t xml:space="preserve"> </w:t>
      </w:r>
      <w:r w:rsidR="00C60CFC" w:rsidRPr="003E5298">
        <w:rPr>
          <w:rFonts w:asciiTheme="minorHAnsi" w:hAnsiTheme="minorHAnsi" w:cstheme="minorHAnsi"/>
          <w:sz w:val="24"/>
          <w:szCs w:val="24"/>
        </w:rPr>
        <w:t>and</w:t>
      </w:r>
      <w:r w:rsidRPr="003E5298">
        <w:rPr>
          <w:rFonts w:asciiTheme="minorHAnsi" w:hAnsiTheme="minorHAnsi" w:cstheme="minorHAnsi"/>
          <w:sz w:val="24"/>
          <w:szCs w:val="24"/>
        </w:rPr>
        <w:t xml:space="preserve"> Staff Policy Committee </w:t>
      </w:r>
      <w:r w:rsidR="00C60CFC" w:rsidRPr="003E5298">
        <w:rPr>
          <w:rFonts w:asciiTheme="minorHAnsi" w:hAnsiTheme="minorHAnsi" w:cstheme="minorHAnsi"/>
          <w:sz w:val="24"/>
          <w:szCs w:val="24"/>
        </w:rPr>
        <w:t xml:space="preserve">on issues discussed since the last Court meeting.   </w:t>
      </w:r>
      <w:r w:rsidR="008543AC">
        <w:rPr>
          <w:rFonts w:asciiTheme="minorHAnsi" w:hAnsiTheme="minorHAnsi" w:cstheme="minorHAnsi"/>
          <w:sz w:val="24"/>
          <w:szCs w:val="24"/>
        </w:rPr>
        <w:t>The Court noted the work of the Nominations Committee in connection with the search for a new Chair to succeed Mrs Hazel Brooke in February 2018.</w:t>
      </w:r>
      <w:r w:rsidR="00C60CFC" w:rsidRPr="003E5298">
        <w:rPr>
          <w:rFonts w:asciiTheme="minorHAnsi" w:hAnsiTheme="minorHAnsi" w:cstheme="minorHAnsi"/>
          <w:sz w:val="24"/>
          <w:szCs w:val="24"/>
        </w:rPr>
        <w:t xml:space="preserve"> </w:t>
      </w:r>
      <w:r w:rsidRPr="003E5298">
        <w:rPr>
          <w:rFonts w:asciiTheme="minorHAnsi" w:hAnsiTheme="minorHAnsi" w:cstheme="minorHAnsi"/>
          <w:sz w:val="24"/>
          <w:szCs w:val="24"/>
        </w:rPr>
        <w:t xml:space="preserve"> </w:t>
      </w:r>
    </w:p>
    <w:p w:rsidR="009F102D" w:rsidRPr="003E5298" w:rsidRDefault="009F102D" w:rsidP="00101CE0">
      <w:pPr>
        <w:pStyle w:val="NoSpacing"/>
        <w:jc w:val="both"/>
        <w:rPr>
          <w:rFonts w:asciiTheme="minorHAnsi" w:hAnsiTheme="minorHAnsi" w:cstheme="minorHAnsi"/>
          <w:sz w:val="24"/>
          <w:szCs w:val="24"/>
        </w:rPr>
      </w:pPr>
    </w:p>
    <w:sectPr w:rsidR="009F102D" w:rsidRPr="003E5298" w:rsidSect="00940A84">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C2" w:rsidRDefault="008846C2" w:rsidP="009951FD">
      <w:pPr>
        <w:spacing w:after="0" w:line="240" w:lineRule="auto"/>
      </w:pPr>
      <w:r>
        <w:separator/>
      </w:r>
    </w:p>
  </w:endnote>
  <w:endnote w:type="continuationSeparator" w:id="0">
    <w:p w:rsidR="008846C2" w:rsidRDefault="008846C2" w:rsidP="0099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180860"/>
      <w:docPartObj>
        <w:docPartGallery w:val="Page Numbers (Bottom of Page)"/>
        <w:docPartUnique/>
      </w:docPartObj>
    </w:sdtPr>
    <w:sdtEndPr>
      <w:rPr>
        <w:noProof/>
      </w:rPr>
    </w:sdtEndPr>
    <w:sdtContent>
      <w:p w:rsidR="00D63478" w:rsidRDefault="00D63478">
        <w:pPr>
          <w:pStyle w:val="Footer"/>
          <w:jc w:val="right"/>
        </w:pPr>
        <w:r>
          <w:fldChar w:fldCharType="begin"/>
        </w:r>
        <w:r>
          <w:instrText xml:space="preserve"> PAGE   \* MERGEFORMAT </w:instrText>
        </w:r>
        <w:r>
          <w:fldChar w:fldCharType="separate"/>
        </w:r>
        <w:r w:rsidR="00083FAF">
          <w:rPr>
            <w:noProof/>
          </w:rPr>
          <w:t>1</w:t>
        </w:r>
        <w:r>
          <w:rPr>
            <w:noProof/>
          </w:rPr>
          <w:fldChar w:fldCharType="end"/>
        </w:r>
      </w:p>
    </w:sdtContent>
  </w:sdt>
  <w:p w:rsidR="0088727C" w:rsidRDefault="0088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C2" w:rsidRDefault="008846C2" w:rsidP="009951FD">
      <w:pPr>
        <w:spacing w:after="0" w:line="240" w:lineRule="auto"/>
      </w:pPr>
      <w:r>
        <w:separator/>
      </w:r>
    </w:p>
  </w:footnote>
  <w:footnote w:type="continuationSeparator" w:id="0">
    <w:p w:rsidR="008846C2" w:rsidRDefault="008846C2" w:rsidP="00995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030"/>
    <w:multiLevelType w:val="hybridMultilevel"/>
    <w:tmpl w:val="2C0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506"/>
    <w:multiLevelType w:val="hybridMultilevel"/>
    <w:tmpl w:val="DA907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44B27"/>
    <w:multiLevelType w:val="hybridMultilevel"/>
    <w:tmpl w:val="D39A7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C537E"/>
    <w:multiLevelType w:val="hybridMultilevel"/>
    <w:tmpl w:val="AFE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D7233"/>
    <w:multiLevelType w:val="hybridMultilevel"/>
    <w:tmpl w:val="9F4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F4507"/>
    <w:multiLevelType w:val="hybridMultilevel"/>
    <w:tmpl w:val="488E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07A56"/>
    <w:multiLevelType w:val="hybridMultilevel"/>
    <w:tmpl w:val="373C7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nsid w:val="5B702FF7"/>
    <w:multiLevelType w:val="hybridMultilevel"/>
    <w:tmpl w:val="308A6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5AB6B07"/>
    <w:multiLevelType w:val="hybridMultilevel"/>
    <w:tmpl w:val="8A74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403A5F"/>
    <w:multiLevelType w:val="hybridMultilevel"/>
    <w:tmpl w:val="11D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A75DDF"/>
    <w:multiLevelType w:val="hybridMultilevel"/>
    <w:tmpl w:val="5038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0"/>
  </w:num>
  <w:num w:numId="5">
    <w:abstractNumId w:val="9"/>
  </w:num>
  <w:num w:numId="6">
    <w:abstractNumId w:val="4"/>
  </w:num>
  <w:num w:numId="7">
    <w:abstractNumId w:val="5"/>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35"/>
    <w:rsid w:val="000034BC"/>
    <w:rsid w:val="00005414"/>
    <w:rsid w:val="00036AEC"/>
    <w:rsid w:val="000379B8"/>
    <w:rsid w:val="00041EDF"/>
    <w:rsid w:val="00071532"/>
    <w:rsid w:val="00074180"/>
    <w:rsid w:val="00083FAF"/>
    <w:rsid w:val="000862FE"/>
    <w:rsid w:val="00096613"/>
    <w:rsid w:val="000A42EF"/>
    <w:rsid w:val="000A7281"/>
    <w:rsid w:val="000B1EDB"/>
    <w:rsid w:val="000B455A"/>
    <w:rsid w:val="000C7B7E"/>
    <w:rsid w:val="000D3FAA"/>
    <w:rsid w:val="000D513E"/>
    <w:rsid w:val="000E3AA5"/>
    <w:rsid w:val="000E6AC5"/>
    <w:rsid w:val="000F6E4A"/>
    <w:rsid w:val="000F79E1"/>
    <w:rsid w:val="00101CE0"/>
    <w:rsid w:val="001162A4"/>
    <w:rsid w:val="00126311"/>
    <w:rsid w:val="001357C9"/>
    <w:rsid w:val="001B686A"/>
    <w:rsid w:val="001D220C"/>
    <w:rsid w:val="001D4629"/>
    <w:rsid w:val="001E2370"/>
    <w:rsid w:val="002119A7"/>
    <w:rsid w:val="00225DDF"/>
    <w:rsid w:val="002403FD"/>
    <w:rsid w:val="00244B65"/>
    <w:rsid w:val="002461A7"/>
    <w:rsid w:val="0024765A"/>
    <w:rsid w:val="00285315"/>
    <w:rsid w:val="00285E0B"/>
    <w:rsid w:val="002909AF"/>
    <w:rsid w:val="00295A1E"/>
    <w:rsid w:val="002C1731"/>
    <w:rsid w:val="002F1D46"/>
    <w:rsid w:val="003211DA"/>
    <w:rsid w:val="0034726D"/>
    <w:rsid w:val="00347AF0"/>
    <w:rsid w:val="003516B0"/>
    <w:rsid w:val="00366650"/>
    <w:rsid w:val="00371415"/>
    <w:rsid w:val="003E5298"/>
    <w:rsid w:val="003F661B"/>
    <w:rsid w:val="00404A56"/>
    <w:rsid w:val="00411BF8"/>
    <w:rsid w:val="00421173"/>
    <w:rsid w:val="004226F7"/>
    <w:rsid w:val="0042480C"/>
    <w:rsid w:val="00441A71"/>
    <w:rsid w:val="00450254"/>
    <w:rsid w:val="004A28C7"/>
    <w:rsid w:val="004A6DC3"/>
    <w:rsid w:val="004C12D2"/>
    <w:rsid w:val="004C1EE8"/>
    <w:rsid w:val="004C4CE6"/>
    <w:rsid w:val="004C5795"/>
    <w:rsid w:val="004D2469"/>
    <w:rsid w:val="0052403D"/>
    <w:rsid w:val="00532779"/>
    <w:rsid w:val="0053629A"/>
    <w:rsid w:val="00544B53"/>
    <w:rsid w:val="00554BBD"/>
    <w:rsid w:val="00556C3B"/>
    <w:rsid w:val="00561CFF"/>
    <w:rsid w:val="0057393A"/>
    <w:rsid w:val="0059428F"/>
    <w:rsid w:val="005B4338"/>
    <w:rsid w:val="005C25E3"/>
    <w:rsid w:val="005C50AB"/>
    <w:rsid w:val="005C59B1"/>
    <w:rsid w:val="005E50D7"/>
    <w:rsid w:val="006052EE"/>
    <w:rsid w:val="00606A35"/>
    <w:rsid w:val="00615E13"/>
    <w:rsid w:val="00616270"/>
    <w:rsid w:val="00617E3C"/>
    <w:rsid w:val="00640B34"/>
    <w:rsid w:val="006828CA"/>
    <w:rsid w:val="00694969"/>
    <w:rsid w:val="006B57A3"/>
    <w:rsid w:val="006E2BE5"/>
    <w:rsid w:val="006F11FE"/>
    <w:rsid w:val="006F269F"/>
    <w:rsid w:val="00702921"/>
    <w:rsid w:val="007048EE"/>
    <w:rsid w:val="00707B67"/>
    <w:rsid w:val="007171AC"/>
    <w:rsid w:val="00721D5A"/>
    <w:rsid w:val="0074094F"/>
    <w:rsid w:val="00750604"/>
    <w:rsid w:val="00755684"/>
    <w:rsid w:val="00767F3A"/>
    <w:rsid w:val="00772EB1"/>
    <w:rsid w:val="00784530"/>
    <w:rsid w:val="007A2D97"/>
    <w:rsid w:val="007B4FC2"/>
    <w:rsid w:val="007C0D0B"/>
    <w:rsid w:val="007D35A7"/>
    <w:rsid w:val="007E57CF"/>
    <w:rsid w:val="007F6C28"/>
    <w:rsid w:val="00850D63"/>
    <w:rsid w:val="008543AC"/>
    <w:rsid w:val="008567DA"/>
    <w:rsid w:val="008604B6"/>
    <w:rsid w:val="00866DE8"/>
    <w:rsid w:val="0087773D"/>
    <w:rsid w:val="008846C2"/>
    <w:rsid w:val="0088727C"/>
    <w:rsid w:val="00890561"/>
    <w:rsid w:val="008932F2"/>
    <w:rsid w:val="00911CE1"/>
    <w:rsid w:val="0091551C"/>
    <w:rsid w:val="009201A6"/>
    <w:rsid w:val="00925156"/>
    <w:rsid w:val="00940A84"/>
    <w:rsid w:val="00941153"/>
    <w:rsid w:val="00962728"/>
    <w:rsid w:val="00963BB9"/>
    <w:rsid w:val="00966966"/>
    <w:rsid w:val="00985876"/>
    <w:rsid w:val="00986D8A"/>
    <w:rsid w:val="009951FD"/>
    <w:rsid w:val="009D7E3D"/>
    <w:rsid w:val="009E17B2"/>
    <w:rsid w:val="009E3ED1"/>
    <w:rsid w:val="009F102D"/>
    <w:rsid w:val="009F120D"/>
    <w:rsid w:val="009F2F56"/>
    <w:rsid w:val="009F7749"/>
    <w:rsid w:val="00A00059"/>
    <w:rsid w:val="00A07DB4"/>
    <w:rsid w:val="00A21271"/>
    <w:rsid w:val="00A21688"/>
    <w:rsid w:val="00A22CF1"/>
    <w:rsid w:val="00A373FA"/>
    <w:rsid w:val="00A71D85"/>
    <w:rsid w:val="00A86AF2"/>
    <w:rsid w:val="00AA3B26"/>
    <w:rsid w:val="00AA3DD7"/>
    <w:rsid w:val="00AA49E9"/>
    <w:rsid w:val="00AA7E92"/>
    <w:rsid w:val="00AD02A7"/>
    <w:rsid w:val="00AE463F"/>
    <w:rsid w:val="00B10C6D"/>
    <w:rsid w:val="00B37625"/>
    <w:rsid w:val="00B415F3"/>
    <w:rsid w:val="00B657DC"/>
    <w:rsid w:val="00B67E28"/>
    <w:rsid w:val="00B813E1"/>
    <w:rsid w:val="00B90AA0"/>
    <w:rsid w:val="00B9660D"/>
    <w:rsid w:val="00BB320F"/>
    <w:rsid w:val="00BC3161"/>
    <w:rsid w:val="00BC6A10"/>
    <w:rsid w:val="00C06F35"/>
    <w:rsid w:val="00C104CA"/>
    <w:rsid w:val="00C11937"/>
    <w:rsid w:val="00C25C32"/>
    <w:rsid w:val="00C32AA9"/>
    <w:rsid w:val="00C33146"/>
    <w:rsid w:val="00C56096"/>
    <w:rsid w:val="00C60CFC"/>
    <w:rsid w:val="00C64985"/>
    <w:rsid w:val="00C81A85"/>
    <w:rsid w:val="00C94E69"/>
    <w:rsid w:val="00CA7562"/>
    <w:rsid w:val="00CB466A"/>
    <w:rsid w:val="00CC52CB"/>
    <w:rsid w:val="00CC5F51"/>
    <w:rsid w:val="00CF3E11"/>
    <w:rsid w:val="00D21D56"/>
    <w:rsid w:val="00D63478"/>
    <w:rsid w:val="00D63BBD"/>
    <w:rsid w:val="00DA752B"/>
    <w:rsid w:val="00DB4FBD"/>
    <w:rsid w:val="00DB53B3"/>
    <w:rsid w:val="00DD1EC8"/>
    <w:rsid w:val="00DE00BE"/>
    <w:rsid w:val="00DF3DCE"/>
    <w:rsid w:val="00DF45F8"/>
    <w:rsid w:val="00E102A9"/>
    <w:rsid w:val="00E11576"/>
    <w:rsid w:val="00E2742E"/>
    <w:rsid w:val="00E27E89"/>
    <w:rsid w:val="00E3216E"/>
    <w:rsid w:val="00E3726C"/>
    <w:rsid w:val="00E40DE1"/>
    <w:rsid w:val="00E51707"/>
    <w:rsid w:val="00E57F5C"/>
    <w:rsid w:val="00E618EC"/>
    <w:rsid w:val="00E65D1F"/>
    <w:rsid w:val="00E71336"/>
    <w:rsid w:val="00E72ECF"/>
    <w:rsid w:val="00E85FFF"/>
    <w:rsid w:val="00E956CB"/>
    <w:rsid w:val="00E97DE1"/>
    <w:rsid w:val="00EC6E58"/>
    <w:rsid w:val="00ED2831"/>
    <w:rsid w:val="00ED7A59"/>
    <w:rsid w:val="00EE124D"/>
    <w:rsid w:val="00EE2B28"/>
    <w:rsid w:val="00F12B34"/>
    <w:rsid w:val="00F42427"/>
    <w:rsid w:val="00F76D7A"/>
    <w:rsid w:val="00F94170"/>
    <w:rsid w:val="00FA4284"/>
    <w:rsid w:val="00FB0CCE"/>
    <w:rsid w:val="00FC1006"/>
    <w:rsid w:val="00FC3BF6"/>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006">
      <w:bodyDiv w:val="1"/>
      <w:marLeft w:val="0"/>
      <w:marRight w:val="0"/>
      <w:marTop w:val="0"/>
      <w:marBottom w:val="0"/>
      <w:divBdr>
        <w:top w:val="none" w:sz="0" w:space="0" w:color="auto"/>
        <w:left w:val="none" w:sz="0" w:space="0" w:color="auto"/>
        <w:bottom w:val="none" w:sz="0" w:space="0" w:color="auto"/>
        <w:right w:val="none" w:sz="0" w:space="0" w:color="auto"/>
      </w:divBdr>
    </w:div>
    <w:div w:id="565460531">
      <w:bodyDiv w:val="1"/>
      <w:marLeft w:val="0"/>
      <w:marRight w:val="0"/>
      <w:marTop w:val="0"/>
      <w:marBottom w:val="0"/>
      <w:divBdr>
        <w:top w:val="none" w:sz="0" w:space="0" w:color="auto"/>
        <w:left w:val="none" w:sz="0" w:space="0" w:color="auto"/>
        <w:bottom w:val="none" w:sz="0" w:space="0" w:color="auto"/>
        <w:right w:val="none" w:sz="0" w:space="0" w:color="auto"/>
      </w:divBdr>
    </w:div>
    <w:div w:id="1009412615">
      <w:bodyDiv w:val="1"/>
      <w:marLeft w:val="0"/>
      <w:marRight w:val="0"/>
      <w:marTop w:val="0"/>
      <w:marBottom w:val="0"/>
      <w:divBdr>
        <w:top w:val="none" w:sz="0" w:space="0" w:color="auto"/>
        <w:left w:val="none" w:sz="0" w:space="0" w:color="auto"/>
        <w:bottom w:val="none" w:sz="0" w:space="0" w:color="auto"/>
        <w:right w:val="none" w:sz="0" w:space="0" w:color="auto"/>
      </w:divBdr>
    </w:div>
    <w:div w:id="19230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70C19-028D-49C9-9AD9-0E7195FC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cp:lastPrinted>2012-07-12T15:35:00Z</cp:lastPrinted>
  <dcterms:created xsi:type="dcterms:W3CDTF">2017-06-28T12:43:00Z</dcterms:created>
  <dcterms:modified xsi:type="dcterms:W3CDTF">2017-06-28T12:43:00Z</dcterms:modified>
</cp:coreProperties>
</file>