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D0D" w:rsidRDefault="004A4D0D" w:rsidP="004A4D0D">
      <w:pPr>
        <w:rPr>
          <w:b/>
          <w:bCs/>
          <w:sz w:val="24"/>
          <w:szCs w:val="24"/>
        </w:rPr>
      </w:pPr>
    </w:p>
    <w:p w:rsidR="004A4D0D" w:rsidRDefault="004A4D0D" w:rsidP="004A4D0D">
      <w:r>
        <w:rPr>
          <w:noProof/>
          <w:lang w:eastAsia="en-GB"/>
        </w:rPr>
        <w:drawing>
          <wp:anchor distT="0" distB="0" distL="114300" distR="114300" simplePos="0" relativeHeight="251659264" behindDoc="0" locked="0" layoutInCell="1" allowOverlap="1" wp14:anchorId="7E8C161C" wp14:editId="5F393E4F">
            <wp:simplePos x="0" y="0"/>
            <wp:positionH relativeFrom="column">
              <wp:align>left</wp:align>
            </wp:positionH>
            <wp:positionV relativeFrom="paragraph">
              <wp:align>top</wp:align>
            </wp:positionV>
            <wp:extent cx="1924050" cy="1085850"/>
            <wp:effectExtent l="0" t="0" r="0" b="0"/>
            <wp:wrapSquare wrapText="bothSides"/>
            <wp:docPr id="8" name="Picture 8" descr="Description: Glasgow_Caledonian_R#60E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lasgow_Caledonian_R#60E79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1085850"/>
                    </a:xfrm>
                    <a:prstGeom prst="rect">
                      <a:avLst/>
                    </a:prstGeom>
                    <a:noFill/>
                    <a:ln>
                      <a:noFill/>
                    </a:ln>
                  </pic:spPr>
                </pic:pic>
              </a:graphicData>
            </a:graphic>
          </wp:anchor>
        </w:drawing>
      </w:r>
      <w:r>
        <w:br w:type="textWrapping" w:clear="all"/>
      </w:r>
    </w:p>
    <w:p w:rsidR="004A4D0D" w:rsidRPr="00B27EAE" w:rsidRDefault="004A4D0D" w:rsidP="004A4D0D"/>
    <w:p w:rsidR="004A4D0D" w:rsidRDefault="004A4D0D" w:rsidP="004A4D0D"/>
    <w:p w:rsidR="004A4D0D" w:rsidRDefault="004A4D0D" w:rsidP="004A4D0D"/>
    <w:p w:rsidR="004A4D0D" w:rsidRPr="00B27EAE" w:rsidRDefault="004A4D0D" w:rsidP="004A4D0D"/>
    <w:p w:rsidR="004A4D0D" w:rsidRPr="00B27EAE" w:rsidRDefault="00E45F23" w:rsidP="00E45F23">
      <w:pPr>
        <w:tabs>
          <w:tab w:val="left" w:pos="3310"/>
        </w:tabs>
      </w:pPr>
      <w:r>
        <w:tab/>
      </w:r>
    </w:p>
    <w:p w:rsidR="004A4D0D" w:rsidRDefault="004A4D0D" w:rsidP="004A4D0D">
      <w:pPr>
        <w:autoSpaceDE w:val="0"/>
        <w:autoSpaceDN w:val="0"/>
        <w:adjustRightInd w:val="0"/>
        <w:spacing w:after="0" w:line="240" w:lineRule="auto"/>
        <w:jc w:val="center"/>
      </w:pPr>
      <w:r>
        <w:rPr>
          <w:b/>
          <w:bCs/>
          <w:sz w:val="40"/>
          <w:szCs w:val="40"/>
        </w:rPr>
        <w:t>Contextualised Admissions Policy</w:t>
      </w:r>
    </w:p>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4A4D0D" w:rsidRDefault="004A4D0D" w:rsidP="004A4D0D"/>
    <w:p w:rsidR="00A45FFE" w:rsidRDefault="00A45FFE" w:rsidP="00A45FFE">
      <w:pPr>
        <w:autoSpaceDE w:val="0"/>
        <w:autoSpaceDN w:val="0"/>
        <w:adjustRightInd w:val="0"/>
        <w:spacing w:after="0" w:line="240" w:lineRule="auto"/>
        <w:rPr>
          <w:bCs/>
          <w:i/>
          <w:color w:val="808080"/>
          <w:sz w:val="24"/>
          <w:szCs w:val="24"/>
        </w:rPr>
      </w:pPr>
      <w:r>
        <w:rPr>
          <w:b/>
          <w:bCs/>
          <w:sz w:val="24"/>
          <w:szCs w:val="24"/>
        </w:rPr>
        <w:t>Approved by</w:t>
      </w:r>
      <w:r w:rsidRPr="007B308D">
        <w:rPr>
          <w:b/>
          <w:bCs/>
          <w:sz w:val="24"/>
          <w:szCs w:val="24"/>
        </w:rPr>
        <w:t xml:space="preserve">: </w:t>
      </w:r>
      <w:r>
        <w:rPr>
          <w:bCs/>
          <w:i/>
          <w:color w:val="808080"/>
          <w:sz w:val="24"/>
          <w:szCs w:val="24"/>
        </w:rPr>
        <w:t>Senate</w:t>
      </w:r>
      <w:r w:rsidRPr="007B308D">
        <w:rPr>
          <w:bCs/>
          <w:i/>
          <w:color w:val="808080"/>
          <w:sz w:val="24"/>
          <w:szCs w:val="24"/>
        </w:rPr>
        <w:t xml:space="preserve">, </w:t>
      </w:r>
      <w:r>
        <w:rPr>
          <w:bCs/>
          <w:i/>
          <w:color w:val="808080"/>
          <w:sz w:val="24"/>
          <w:szCs w:val="24"/>
        </w:rPr>
        <w:t>October 2022</w:t>
      </w:r>
    </w:p>
    <w:p w:rsidR="00A45FFE" w:rsidRPr="007B308D" w:rsidRDefault="00A45FFE" w:rsidP="00A45FFE">
      <w:pPr>
        <w:autoSpaceDE w:val="0"/>
        <w:autoSpaceDN w:val="0"/>
        <w:adjustRightInd w:val="0"/>
        <w:spacing w:after="0" w:line="240" w:lineRule="auto"/>
        <w:rPr>
          <w:bCs/>
          <w:i/>
          <w:sz w:val="24"/>
          <w:szCs w:val="24"/>
        </w:rPr>
      </w:pPr>
      <w:r w:rsidRPr="007B308D">
        <w:rPr>
          <w:b/>
          <w:bCs/>
          <w:sz w:val="24"/>
          <w:szCs w:val="24"/>
        </w:rPr>
        <w:t xml:space="preserve">Review Date: </w:t>
      </w:r>
      <w:r>
        <w:rPr>
          <w:bCs/>
          <w:sz w:val="24"/>
          <w:szCs w:val="24"/>
        </w:rPr>
        <w:t xml:space="preserve"> </w:t>
      </w:r>
      <w:r>
        <w:rPr>
          <w:bCs/>
          <w:i/>
          <w:color w:val="808080"/>
          <w:sz w:val="24"/>
          <w:szCs w:val="24"/>
        </w:rPr>
        <w:t>October 2023</w:t>
      </w:r>
    </w:p>
    <w:p w:rsidR="00A45FFE" w:rsidRPr="00522C04" w:rsidRDefault="00A45FFE" w:rsidP="00A45FFE">
      <w:pPr>
        <w:autoSpaceDE w:val="0"/>
        <w:autoSpaceDN w:val="0"/>
        <w:adjustRightInd w:val="0"/>
        <w:spacing w:after="0" w:line="240" w:lineRule="auto"/>
        <w:rPr>
          <w:b/>
          <w:bCs/>
          <w:color w:val="808080"/>
          <w:sz w:val="24"/>
          <w:szCs w:val="24"/>
        </w:rPr>
      </w:pPr>
      <w:r w:rsidRPr="007B308D">
        <w:rPr>
          <w:b/>
          <w:bCs/>
          <w:sz w:val="24"/>
          <w:szCs w:val="24"/>
        </w:rPr>
        <w:t xml:space="preserve">Responsibility: </w:t>
      </w:r>
      <w:r w:rsidRPr="00543E29">
        <w:rPr>
          <w:bCs/>
          <w:i/>
          <w:color w:val="808080"/>
          <w:sz w:val="24"/>
          <w:szCs w:val="24"/>
        </w:rPr>
        <w:t xml:space="preserve">Admissions </w:t>
      </w:r>
      <w:r>
        <w:rPr>
          <w:bCs/>
          <w:i/>
          <w:color w:val="808080"/>
          <w:sz w:val="24"/>
          <w:szCs w:val="24"/>
        </w:rPr>
        <w:t>and Enquiry Service</w:t>
      </w:r>
    </w:p>
    <w:p w:rsidR="004A4D0D" w:rsidRDefault="004A4D0D" w:rsidP="004A4D0D"/>
    <w:p w:rsidR="00A45FFE" w:rsidRDefault="00A45FFE" w:rsidP="004A4D0D"/>
    <w:p w:rsidR="004A4D0D" w:rsidRPr="003F4B5B" w:rsidRDefault="004A4D0D" w:rsidP="004A4D0D">
      <w:pPr>
        <w:autoSpaceDE w:val="0"/>
        <w:autoSpaceDN w:val="0"/>
        <w:adjustRightInd w:val="0"/>
        <w:spacing w:after="0" w:line="240" w:lineRule="auto"/>
        <w:jc w:val="center"/>
        <w:rPr>
          <w:b/>
          <w:bCs/>
          <w:sz w:val="24"/>
          <w:szCs w:val="24"/>
        </w:rPr>
      </w:pPr>
      <w:r w:rsidRPr="003F4B5B">
        <w:rPr>
          <w:b/>
          <w:bCs/>
          <w:sz w:val="24"/>
          <w:szCs w:val="24"/>
        </w:rPr>
        <w:lastRenderedPageBreak/>
        <w:t xml:space="preserve">Policy Statement </w:t>
      </w:r>
    </w:p>
    <w:p w:rsidR="004A4D0D" w:rsidRPr="007B14BC" w:rsidRDefault="004A4D0D" w:rsidP="004A4D0D">
      <w:pPr>
        <w:autoSpaceDE w:val="0"/>
        <w:autoSpaceDN w:val="0"/>
        <w:adjustRightInd w:val="0"/>
        <w:spacing w:after="0" w:line="240" w:lineRule="auto"/>
        <w:jc w:val="center"/>
        <w:rPr>
          <w:b/>
          <w:bCs/>
          <w:sz w:val="24"/>
          <w:szCs w:val="24"/>
        </w:rPr>
      </w:pPr>
    </w:p>
    <w:p w:rsidR="004A4D0D" w:rsidRPr="007B14BC" w:rsidRDefault="004A4D0D" w:rsidP="004A4D0D">
      <w:pPr>
        <w:autoSpaceDE w:val="0"/>
        <w:autoSpaceDN w:val="0"/>
        <w:adjustRightInd w:val="0"/>
        <w:spacing w:after="0" w:line="240" w:lineRule="auto"/>
        <w:rPr>
          <w:sz w:val="24"/>
          <w:szCs w:val="24"/>
        </w:rPr>
      </w:pPr>
      <w:r w:rsidRPr="007B14BC">
        <w:rPr>
          <w:bCs/>
          <w:sz w:val="24"/>
          <w:szCs w:val="24"/>
        </w:rPr>
        <w:t xml:space="preserve">Glasgow Caledonian University is committed to providing a rewarding Higher Education opportunity and experience to applicants with the potential to benefit from, and contribute to the GCU experience, mission and values.  </w:t>
      </w:r>
      <w:r w:rsidRPr="007B14BC">
        <w:rPr>
          <w:sz w:val="24"/>
          <w:szCs w:val="24"/>
        </w:rPr>
        <w:t>The University is committed to increasing opportunities for widening access, social inclusion and providing opportunities to students from disadvantaged backgrounds as measured by the HESA Performance indicators</w:t>
      </w:r>
      <w:r>
        <w:rPr>
          <w:rStyle w:val="FootnoteReference"/>
          <w:sz w:val="24"/>
          <w:szCs w:val="24"/>
        </w:rPr>
        <w:footnoteReference w:id="1"/>
      </w:r>
      <w:r w:rsidRPr="007B14BC">
        <w:rPr>
          <w:sz w:val="24"/>
          <w:szCs w:val="24"/>
        </w:rPr>
        <w:t>.</w:t>
      </w:r>
    </w:p>
    <w:p w:rsidR="004A4D0D" w:rsidRPr="007B14BC" w:rsidRDefault="004A4D0D" w:rsidP="004A4D0D">
      <w:pPr>
        <w:autoSpaceDE w:val="0"/>
        <w:autoSpaceDN w:val="0"/>
        <w:adjustRightInd w:val="0"/>
        <w:spacing w:after="0" w:line="240" w:lineRule="auto"/>
        <w:rPr>
          <w:sz w:val="24"/>
          <w:szCs w:val="24"/>
        </w:rPr>
      </w:pPr>
    </w:p>
    <w:p w:rsidR="004A4D0D" w:rsidRPr="003F4B5B" w:rsidRDefault="004A4D0D" w:rsidP="004A4D0D">
      <w:pPr>
        <w:autoSpaceDE w:val="0"/>
        <w:autoSpaceDN w:val="0"/>
        <w:adjustRightInd w:val="0"/>
        <w:spacing w:after="0" w:line="240" w:lineRule="auto"/>
        <w:rPr>
          <w:b/>
          <w:bCs/>
          <w:sz w:val="24"/>
          <w:szCs w:val="24"/>
        </w:rPr>
      </w:pPr>
      <w:r w:rsidRPr="003F4B5B">
        <w:rPr>
          <w:b/>
          <w:bCs/>
          <w:sz w:val="24"/>
          <w:szCs w:val="24"/>
        </w:rPr>
        <w:t xml:space="preserve">Aims: </w:t>
      </w:r>
    </w:p>
    <w:p w:rsidR="004A4D0D" w:rsidRPr="006F39A5" w:rsidRDefault="004A4D0D" w:rsidP="004A4D0D">
      <w:pPr>
        <w:pStyle w:val="Default"/>
        <w:ind w:left="720"/>
        <w:rPr>
          <w:rFonts w:ascii="Calibri" w:hAnsi="Calibri" w:cs="Calibri"/>
        </w:rPr>
      </w:pPr>
      <w:r w:rsidRPr="006F39A5">
        <w:rPr>
          <w:rFonts w:ascii="Calibri" w:hAnsi="Calibri" w:cs="Calibri"/>
          <w:bCs/>
        </w:rPr>
        <w:t xml:space="preserve">Glasgow Caledonian University </w:t>
      </w:r>
      <w:r w:rsidR="00017A1B">
        <w:rPr>
          <w:rFonts w:ascii="Calibri" w:hAnsi="Calibri" w:cs="Calibri"/>
          <w:bCs/>
        </w:rPr>
        <w:t>aims to l</w:t>
      </w:r>
      <w:r w:rsidRPr="006F39A5">
        <w:rPr>
          <w:rFonts w:ascii="Calibri" w:hAnsi="Calibri" w:cs="Calibri"/>
          <w:bCs/>
        </w:rPr>
        <w:t xml:space="preserve">ead the way in widening access to higher education. As part of the University’s mission to promote the </w:t>
      </w:r>
      <w:r w:rsidR="00017A1B">
        <w:rPr>
          <w:rFonts w:ascii="Calibri" w:hAnsi="Calibri" w:cs="Calibri"/>
          <w:bCs/>
        </w:rPr>
        <w:t>C</w:t>
      </w:r>
      <w:r w:rsidR="00017A1B" w:rsidRPr="006F39A5">
        <w:rPr>
          <w:rFonts w:ascii="Calibri" w:hAnsi="Calibri" w:cs="Calibri"/>
          <w:bCs/>
        </w:rPr>
        <w:t xml:space="preserve">ommon </w:t>
      </w:r>
      <w:r w:rsidR="00017A1B">
        <w:rPr>
          <w:rFonts w:ascii="Calibri" w:hAnsi="Calibri" w:cs="Calibri"/>
          <w:bCs/>
        </w:rPr>
        <w:t>G</w:t>
      </w:r>
      <w:r w:rsidR="00017A1B" w:rsidRPr="006F39A5">
        <w:rPr>
          <w:rFonts w:ascii="Calibri" w:hAnsi="Calibri" w:cs="Calibri"/>
          <w:bCs/>
        </w:rPr>
        <w:t>ood</w:t>
      </w:r>
      <w:r w:rsidRPr="006F39A5">
        <w:rPr>
          <w:rFonts w:ascii="Calibri" w:hAnsi="Calibri" w:cs="Calibri"/>
          <w:bCs/>
        </w:rPr>
        <w:t>, we work with schools, children and families in the local community to raise educational aspirations</w:t>
      </w:r>
      <w:r w:rsidR="00017A1B">
        <w:rPr>
          <w:rFonts w:ascii="Calibri" w:hAnsi="Calibri" w:cs="Calibri"/>
          <w:bCs/>
        </w:rPr>
        <w:t>.</w:t>
      </w:r>
      <w:r w:rsidRPr="006F39A5">
        <w:rPr>
          <w:rFonts w:ascii="Calibri" w:hAnsi="Calibri" w:cs="Calibri"/>
          <w:bCs/>
        </w:rPr>
        <w:t xml:space="preserve"> This policy aims to build on this work and recognise the different</w:t>
      </w:r>
      <w:r>
        <w:rPr>
          <w:rFonts w:ascii="Calibri" w:hAnsi="Calibri" w:cs="Calibri"/>
          <w:bCs/>
        </w:rPr>
        <w:t xml:space="preserve"> student</w:t>
      </w:r>
      <w:r w:rsidRPr="006F39A5">
        <w:rPr>
          <w:rFonts w:ascii="Calibri" w:hAnsi="Calibri" w:cs="Calibri"/>
          <w:bCs/>
        </w:rPr>
        <w:t xml:space="preserve"> lea</w:t>
      </w:r>
      <w:r w:rsidR="00E45F23">
        <w:rPr>
          <w:rFonts w:ascii="Calibri" w:hAnsi="Calibri" w:cs="Calibri"/>
          <w:bCs/>
        </w:rPr>
        <w:t>r</w:t>
      </w:r>
      <w:r w:rsidRPr="006F39A5">
        <w:rPr>
          <w:rFonts w:ascii="Calibri" w:hAnsi="Calibri" w:cs="Calibri"/>
          <w:bCs/>
        </w:rPr>
        <w:t xml:space="preserve">ner journeys.  The policy aims to recognise and acknowledge that not all applicants have an equal opportunity to demonstrate their full academic potential and will take into consideration the context and circumstance in which a student has achieved </w:t>
      </w:r>
      <w:r w:rsidR="00017A1B">
        <w:rPr>
          <w:rFonts w:ascii="Calibri" w:hAnsi="Calibri" w:cs="Calibri"/>
          <w:bCs/>
        </w:rPr>
        <w:t xml:space="preserve">their </w:t>
      </w:r>
      <w:r w:rsidRPr="006F39A5">
        <w:rPr>
          <w:rFonts w:ascii="Calibri" w:hAnsi="Calibri" w:cs="Calibri"/>
          <w:bCs/>
        </w:rPr>
        <w:t xml:space="preserve">academic grades. </w:t>
      </w:r>
    </w:p>
    <w:p w:rsidR="004A4D0D" w:rsidRDefault="004A4D0D" w:rsidP="004A4D0D">
      <w:pPr>
        <w:pStyle w:val="Default"/>
        <w:ind w:left="720"/>
        <w:rPr>
          <w:rFonts w:ascii="Calibri" w:hAnsi="Calibri" w:cs="Calibri"/>
        </w:rPr>
      </w:pPr>
    </w:p>
    <w:p w:rsidR="004A4D0D" w:rsidRPr="00A45FFE" w:rsidRDefault="004A4D0D" w:rsidP="004A4D0D">
      <w:pPr>
        <w:autoSpaceDE w:val="0"/>
        <w:autoSpaceDN w:val="0"/>
        <w:adjustRightInd w:val="0"/>
        <w:spacing w:after="0" w:line="240" w:lineRule="auto"/>
        <w:ind w:left="720"/>
        <w:rPr>
          <w:rFonts w:cs="Calibri"/>
          <w:color w:val="000000"/>
          <w:sz w:val="24"/>
          <w:szCs w:val="24"/>
        </w:rPr>
      </w:pPr>
      <w:r w:rsidRPr="00A45FFE">
        <w:rPr>
          <w:rFonts w:cs="Calibri"/>
          <w:color w:val="000000"/>
          <w:sz w:val="24"/>
          <w:szCs w:val="24"/>
        </w:rPr>
        <w:t xml:space="preserve">The University currently </w:t>
      </w:r>
      <w:proofErr w:type="gramStart"/>
      <w:r w:rsidRPr="00A45FFE">
        <w:rPr>
          <w:rFonts w:cs="Calibri"/>
          <w:color w:val="000000"/>
          <w:sz w:val="24"/>
          <w:szCs w:val="24"/>
        </w:rPr>
        <w:t>gives consideration to</w:t>
      </w:r>
      <w:proofErr w:type="gramEnd"/>
      <w:r w:rsidRPr="00A45FFE">
        <w:rPr>
          <w:rFonts w:cs="Calibri"/>
          <w:color w:val="000000"/>
          <w:sz w:val="24"/>
          <w:szCs w:val="24"/>
        </w:rPr>
        <w:t xml:space="preserve"> applicants who apply via Scottish Wider Access Programme (SWAP) and applicants who have undertaken the FOCUS West Top-Up programme</w:t>
      </w:r>
      <w:r w:rsidR="00017A1B" w:rsidRPr="00A45FFE">
        <w:rPr>
          <w:rFonts w:cs="Calibri"/>
          <w:color w:val="000000"/>
          <w:sz w:val="24"/>
          <w:szCs w:val="24"/>
        </w:rPr>
        <w:t xml:space="preserve"> or Lothians Equal Access Program for Schools (LEAPs)</w:t>
      </w:r>
      <w:r w:rsidRPr="00A45FFE">
        <w:rPr>
          <w:rFonts w:cs="Calibri"/>
          <w:color w:val="000000"/>
          <w:sz w:val="24"/>
          <w:szCs w:val="24"/>
        </w:rPr>
        <w:t>.  This policy is an extension to this.</w:t>
      </w:r>
    </w:p>
    <w:p w:rsidR="004A4D0D" w:rsidRPr="00A45FFE" w:rsidRDefault="004A4D0D" w:rsidP="004A4D0D">
      <w:pPr>
        <w:autoSpaceDE w:val="0"/>
        <w:autoSpaceDN w:val="0"/>
        <w:adjustRightInd w:val="0"/>
        <w:spacing w:after="0" w:line="240" w:lineRule="auto"/>
        <w:ind w:left="720"/>
        <w:rPr>
          <w:rFonts w:cs="Calibri"/>
          <w:color w:val="000000"/>
          <w:sz w:val="24"/>
          <w:szCs w:val="24"/>
        </w:rPr>
      </w:pPr>
    </w:p>
    <w:p w:rsidR="004A4D0D" w:rsidRDefault="004A4D0D" w:rsidP="004A4D0D">
      <w:pPr>
        <w:autoSpaceDE w:val="0"/>
        <w:autoSpaceDN w:val="0"/>
        <w:adjustRightInd w:val="0"/>
        <w:spacing w:after="0" w:line="240" w:lineRule="auto"/>
        <w:ind w:left="720"/>
        <w:rPr>
          <w:rFonts w:cs="Calibri"/>
          <w:color w:val="000000"/>
          <w:sz w:val="24"/>
          <w:szCs w:val="24"/>
        </w:rPr>
      </w:pPr>
      <w:r w:rsidRPr="00A45FFE">
        <w:rPr>
          <w:rFonts w:cs="Calibri"/>
          <w:color w:val="000000"/>
          <w:sz w:val="24"/>
          <w:szCs w:val="24"/>
        </w:rPr>
        <w:t xml:space="preserve">This policy will be applied to Scottish domiciled students entering the University at level 1 of a </w:t>
      </w:r>
      <w:proofErr w:type="gramStart"/>
      <w:r w:rsidRPr="00A45FFE">
        <w:rPr>
          <w:rFonts w:cs="Calibri"/>
          <w:color w:val="000000"/>
          <w:sz w:val="24"/>
          <w:szCs w:val="24"/>
        </w:rPr>
        <w:t>full time</w:t>
      </w:r>
      <w:proofErr w:type="gramEnd"/>
      <w:r w:rsidRPr="00A45FFE">
        <w:rPr>
          <w:rFonts w:cs="Calibri"/>
          <w:color w:val="000000"/>
          <w:sz w:val="24"/>
          <w:szCs w:val="24"/>
        </w:rPr>
        <w:t xml:space="preserve"> undergraduate degree programme</w:t>
      </w:r>
      <w:r w:rsidR="00017A1B" w:rsidRPr="00A45FFE">
        <w:rPr>
          <w:rFonts w:cs="Calibri"/>
          <w:color w:val="000000"/>
          <w:sz w:val="24"/>
          <w:szCs w:val="24"/>
        </w:rPr>
        <w:t xml:space="preserve"> </w:t>
      </w:r>
      <w:r w:rsidR="00E45F23" w:rsidRPr="00A45FFE">
        <w:rPr>
          <w:rFonts w:cs="Calibri"/>
          <w:color w:val="000000"/>
          <w:sz w:val="24"/>
          <w:szCs w:val="24"/>
        </w:rPr>
        <w:t>and Scottish domiciled</w:t>
      </w:r>
      <w:r w:rsidR="00017A1B" w:rsidRPr="00A45FFE">
        <w:rPr>
          <w:rFonts w:cs="Calibri"/>
          <w:color w:val="000000"/>
          <w:sz w:val="24"/>
          <w:szCs w:val="24"/>
        </w:rPr>
        <w:t xml:space="preserve"> Care Experienced </w:t>
      </w:r>
      <w:r w:rsidR="00E45F23" w:rsidRPr="00A45FFE">
        <w:rPr>
          <w:rFonts w:cs="Calibri"/>
          <w:color w:val="000000"/>
          <w:sz w:val="24"/>
          <w:szCs w:val="24"/>
        </w:rPr>
        <w:t>applicants</w:t>
      </w:r>
      <w:r w:rsidR="00017A1B" w:rsidRPr="00A45FFE">
        <w:rPr>
          <w:rFonts w:cs="Calibri"/>
          <w:color w:val="000000"/>
          <w:sz w:val="24"/>
          <w:szCs w:val="24"/>
        </w:rPr>
        <w:t xml:space="preserve"> entering an undergraduate </w:t>
      </w:r>
      <w:r w:rsidR="00E45F23" w:rsidRPr="00A45FFE">
        <w:rPr>
          <w:rFonts w:cs="Calibri"/>
          <w:color w:val="000000"/>
          <w:sz w:val="24"/>
          <w:szCs w:val="24"/>
        </w:rPr>
        <w:t xml:space="preserve">degree </w:t>
      </w:r>
      <w:r w:rsidR="00017A1B" w:rsidRPr="00A45FFE">
        <w:rPr>
          <w:rFonts w:cs="Calibri"/>
          <w:color w:val="000000"/>
          <w:sz w:val="24"/>
          <w:szCs w:val="24"/>
        </w:rPr>
        <w:t>programme at any level</w:t>
      </w:r>
      <w:r w:rsidR="00E45F23" w:rsidRPr="00A45FFE">
        <w:rPr>
          <w:rFonts w:cs="Calibri"/>
          <w:color w:val="000000"/>
          <w:sz w:val="24"/>
          <w:szCs w:val="24"/>
        </w:rPr>
        <w:t xml:space="preserve"> with a Higher National (HN) Qualification.</w:t>
      </w:r>
    </w:p>
    <w:p w:rsidR="004A4D0D" w:rsidRDefault="004A4D0D" w:rsidP="004A4D0D">
      <w:pPr>
        <w:autoSpaceDE w:val="0"/>
        <w:autoSpaceDN w:val="0"/>
        <w:adjustRightInd w:val="0"/>
        <w:spacing w:after="0" w:line="240" w:lineRule="auto"/>
        <w:ind w:left="720"/>
        <w:rPr>
          <w:rFonts w:cs="Calibri"/>
          <w:color w:val="000000"/>
          <w:sz w:val="24"/>
          <w:szCs w:val="24"/>
        </w:rPr>
      </w:pPr>
    </w:p>
    <w:p w:rsidR="004A4D0D" w:rsidRDefault="004A4D0D" w:rsidP="004A4D0D">
      <w:pPr>
        <w:pStyle w:val="Default"/>
        <w:numPr>
          <w:ilvl w:val="0"/>
          <w:numId w:val="33"/>
        </w:numPr>
        <w:rPr>
          <w:rFonts w:ascii="Calibri" w:hAnsi="Calibri"/>
          <w:b/>
        </w:rPr>
      </w:pPr>
      <w:r>
        <w:rPr>
          <w:rFonts w:ascii="Calibri" w:hAnsi="Calibri"/>
          <w:b/>
        </w:rPr>
        <w:t xml:space="preserve">Contextual </w:t>
      </w:r>
      <w:r w:rsidRPr="0006160F">
        <w:rPr>
          <w:rFonts w:ascii="Calibri" w:hAnsi="Calibri"/>
          <w:b/>
        </w:rPr>
        <w:t>Offers</w:t>
      </w:r>
      <w:r>
        <w:rPr>
          <w:rFonts w:ascii="Calibri" w:hAnsi="Calibri"/>
          <w:b/>
        </w:rPr>
        <w:t>:</w:t>
      </w:r>
    </w:p>
    <w:p w:rsidR="004A4D0D" w:rsidRDefault="004A4D0D" w:rsidP="004A4D0D">
      <w:pPr>
        <w:pStyle w:val="Default"/>
        <w:rPr>
          <w:rFonts w:ascii="Calibri" w:hAnsi="Calibri"/>
          <w:b/>
        </w:rPr>
      </w:pPr>
    </w:p>
    <w:p w:rsidR="004A4D0D" w:rsidRDefault="004A4D0D" w:rsidP="004A4D0D">
      <w:pPr>
        <w:pStyle w:val="Default"/>
        <w:ind w:left="720"/>
        <w:rPr>
          <w:rFonts w:ascii="Calibri" w:hAnsi="Calibri"/>
        </w:rPr>
      </w:pPr>
      <w:r>
        <w:rPr>
          <w:rFonts w:ascii="Calibri" w:hAnsi="Calibri"/>
        </w:rPr>
        <w:t xml:space="preserve">The Admissions </w:t>
      </w:r>
      <w:r w:rsidRPr="00AC5A99">
        <w:rPr>
          <w:rFonts w:ascii="Calibri" w:hAnsi="Calibri"/>
          <w:color w:val="auto"/>
        </w:rPr>
        <w:t xml:space="preserve">and Enquiry </w:t>
      </w:r>
      <w:r>
        <w:rPr>
          <w:rFonts w:ascii="Calibri" w:hAnsi="Calibri"/>
        </w:rPr>
        <w:t xml:space="preserve">Service will take a variety of contextual factors into consideration in addition to academic achievement and/or the potential for academic achievement when making a decision on applications to a </w:t>
      </w:r>
      <w:proofErr w:type="gramStart"/>
      <w:r>
        <w:rPr>
          <w:rFonts w:ascii="Calibri" w:hAnsi="Calibri"/>
        </w:rPr>
        <w:t>full time</w:t>
      </w:r>
      <w:proofErr w:type="gramEnd"/>
      <w:r>
        <w:rPr>
          <w:rFonts w:ascii="Calibri" w:hAnsi="Calibri"/>
        </w:rPr>
        <w:t xml:space="preserve"> undergraduate degree programme.  </w:t>
      </w:r>
    </w:p>
    <w:p w:rsidR="004A4D0D" w:rsidRDefault="004A4D0D" w:rsidP="004A4D0D">
      <w:pPr>
        <w:pStyle w:val="Default"/>
        <w:ind w:left="720"/>
        <w:rPr>
          <w:rFonts w:ascii="Calibri" w:hAnsi="Calibri"/>
        </w:rPr>
      </w:pPr>
    </w:p>
    <w:p w:rsidR="004A4D0D" w:rsidRPr="00E45F23" w:rsidRDefault="004A4D0D" w:rsidP="00E45F23">
      <w:pPr>
        <w:autoSpaceDE w:val="0"/>
        <w:autoSpaceDN w:val="0"/>
        <w:adjustRightInd w:val="0"/>
        <w:spacing w:after="0" w:line="240" w:lineRule="auto"/>
        <w:ind w:left="720"/>
        <w:rPr>
          <w:rFonts w:ascii="Calibri" w:hAnsi="Calibri"/>
          <w:sz w:val="24"/>
          <w:szCs w:val="24"/>
        </w:rPr>
      </w:pPr>
      <w:bookmarkStart w:id="0" w:name="_GoBack"/>
      <w:bookmarkEnd w:id="0"/>
      <w:r w:rsidRPr="00A45FFE">
        <w:rPr>
          <w:rFonts w:ascii="Calibri" w:hAnsi="Calibri"/>
          <w:sz w:val="24"/>
          <w:szCs w:val="24"/>
        </w:rPr>
        <w:t xml:space="preserve">Any applicant who meets one or more of the contextual factors and is successful in gaining an offer to the University </w:t>
      </w:r>
      <w:r w:rsidR="00017A1B" w:rsidRPr="00A45FFE">
        <w:rPr>
          <w:rFonts w:ascii="Calibri" w:hAnsi="Calibri"/>
          <w:sz w:val="24"/>
          <w:szCs w:val="24"/>
        </w:rPr>
        <w:t xml:space="preserve">at level 1 </w:t>
      </w:r>
      <w:r w:rsidRPr="00A45FFE">
        <w:rPr>
          <w:rFonts w:ascii="Calibri" w:hAnsi="Calibri"/>
          <w:sz w:val="24"/>
          <w:szCs w:val="24"/>
        </w:rPr>
        <w:t xml:space="preserve">will be offered on the Minimum Entry Requirement for the programme.  </w:t>
      </w:r>
      <w:r w:rsidR="00017A1B" w:rsidRPr="00A45FFE">
        <w:rPr>
          <w:rFonts w:ascii="Calibri" w:hAnsi="Calibri"/>
          <w:sz w:val="24"/>
          <w:szCs w:val="24"/>
        </w:rPr>
        <w:t xml:space="preserve">Care Experienced applicants </w:t>
      </w:r>
      <w:r w:rsidR="00E45F23" w:rsidRPr="00A45FFE">
        <w:rPr>
          <w:rFonts w:ascii="Calibri" w:hAnsi="Calibri"/>
          <w:sz w:val="24"/>
          <w:szCs w:val="24"/>
        </w:rPr>
        <w:t xml:space="preserve">successful in </w:t>
      </w:r>
      <w:r w:rsidR="00017A1B" w:rsidRPr="00A45FFE">
        <w:rPr>
          <w:rFonts w:ascii="Calibri" w:hAnsi="Calibri"/>
          <w:sz w:val="24"/>
          <w:szCs w:val="24"/>
        </w:rPr>
        <w:t xml:space="preserve">gaining an offer at advanced entry </w:t>
      </w:r>
      <w:r w:rsidR="00E45F23" w:rsidRPr="00A45FFE">
        <w:rPr>
          <w:rFonts w:ascii="Calibri" w:hAnsi="Calibri"/>
          <w:sz w:val="24"/>
          <w:szCs w:val="24"/>
        </w:rPr>
        <w:t xml:space="preserve">with a </w:t>
      </w:r>
      <w:r w:rsidR="00E45F23" w:rsidRPr="00A45FFE">
        <w:rPr>
          <w:rFonts w:cs="Calibri"/>
          <w:color w:val="000000"/>
          <w:sz w:val="24"/>
          <w:szCs w:val="24"/>
        </w:rPr>
        <w:t xml:space="preserve">Higher National (HN) Qualification </w:t>
      </w:r>
      <w:r w:rsidR="00017A1B" w:rsidRPr="00A45FFE">
        <w:rPr>
          <w:rFonts w:ascii="Calibri" w:hAnsi="Calibri"/>
          <w:sz w:val="24"/>
          <w:szCs w:val="24"/>
        </w:rPr>
        <w:t xml:space="preserve">may be made an offer on </w:t>
      </w:r>
      <w:r w:rsidR="00B1315D" w:rsidRPr="00A45FFE">
        <w:rPr>
          <w:rFonts w:ascii="Calibri" w:hAnsi="Calibri"/>
          <w:sz w:val="24"/>
          <w:szCs w:val="24"/>
        </w:rPr>
        <w:t>reduced entry criteria.</w:t>
      </w:r>
    </w:p>
    <w:p w:rsidR="004A4D0D" w:rsidRPr="0006160F" w:rsidRDefault="004A4D0D" w:rsidP="004A4D0D">
      <w:pPr>
        <w:pStyle w:val="Default"/>
        <w:rPr>
          <w:rFonts w:ascii="Calibri" w:hAnsi="Calibri"/>
          <w:b/>
        </w:rPr>
      </w:pPr>
    </w:p>
    <w:p w:rsidR="004A4D0D" w:rsidRDefault="004A4D0D" w:rsidP="004A4D0D">
      <w:pPr>
        <w:pStyle w:val="Default"/>
        <w:numPr>
          <w:ilvl w:val="0"/>
          <w:numId w:val="33"/>
        </w:numPr>
        <w:rPr>
          <w:rFonts w:ascii="Calibri" w:hAnsi="Calibri"/>
          <w:b/>
        </w:rPr>
      </w:pPr>
      <w:r>
        <w:rPr>
          <w:rFonts w:ascii="Calibri" w:hAnsi="Calibri"/>
          <w:b/>
        </w:rPr>
        <w:t>Contextual Factors:</w:t>
      </w:r>
    </w:p>
    <w:p w:rsidR="004A4D0D" w:rsidRDefault="004A4D0D" w:rsidP="004A4D0D">
      <w:pPr>
        <w:pStyle w:val="Default"/>
        <w:rPr>
          <w:rFonts w:ascii="Calibri" w:hAnsi="Calibri"/>
          <w:b/>
        </w:rPr>
      </w:pPr>
    </w:p>
    <w:p w:rsidR="004A4D0D" w:rsidRDefault="004A4D0D" w:rsidP="004A4D0D">
      <w:pPr>
        <w:pStyle w:val="Default"/>
        <w:ind w:left="720"/>
        <w:rPr>
          <w:rFonts w:ascii="Calibri" w:hAnsi="Calibri"/>
        </w:rPr>
      </w:pPr>
      <w:r>
        <w:rPr>
          <w:rFonts w:ascii="Calibri" w:hAnsi="Calibri"/>
        </w:rPr>
        <w:t>The following pieces of contextual information will be used when determining the offer made to an applicant:</w:t>
      </w:r>
    </w:p>
    <w:p w:rsidR="004A4D0D" w:rsidRDefault="004A4D0D" w:rsidP="004A4D0D">
      <w:pPr>
        <w:pStyle w:val="Default"/>
        <w:ind w:left="1440"/>
        <w:rPr>
          <w:rFonts w:ascii="Calibri" w:hAnsi="Calibri"/>
        </w:rPr>
      </w:pPr>
    </w:p>
    <w:p w:rsidR="004A4D0D" w:rsidRDefault="004A4D0D" w:rsidP="004A4D0D">
      <w:pPr>
        <w:pStyle w:val="Default"/>
        <w:numPr>
          <w:ilvl w:val="0"/>
          <w:numId w:val="32"/>
        </w:numPr>
        <w:rPr>
          <w:rFonts w:ascii="Calibri" w:hAnsi="Calibri"/>
        </w:rPr>
      </w:pPr>
      <w:r>
        <w:rPr>
          <w:rFonts w:ascii="Calibri" w:hAnsi="Calibri"/>
        </w:rPr>
        <w:t>An applicant who has been identified as a Young Carer</w:t>
      </w:r>
      <w:r>
        <w:rPr>
          <w:rStyle w:val="FootnoteReference"/>
          <w:rFonts w:ascii="Calibri" w:hAnsi="Calibri"/>
        </w:rPr>
        <w:footnoteReference w:id="2"/>
      </w:r>
      <w:r>
        <w:rPr>
          <w:rFonts w:ascii="Calibri" w:hAnsi="Calibri"/>
        </w:rPr>
        <w:t>. This data is provided by applicant</w:t>
      </w:r>
      <w:r w:rsidR="00B1315D">
        <w:rPr>
          <w:rFonts w:ascii="Calibri" w:hAnsi="Calibri"/>
        </w:rPr>
        <w:t>s</w:t>
      </w:r>
      <w:r>
        <w:rPr>
          <w:rFonts w:ascii="Calibri" w:hAnsi="Calibri"/>
        </w:rPr>
        <w:t xml:space="preserve"> on their UCAS application within the personal statement and/or reference and verified by the Admissions </w:t>
      </w:r>
      <w:r w:rsidRPr="00AC5A99">
        <w:rPr>
          <w:rFonts w:ascii="Calibri" w:hAnsi="Calibri"/>
          <w:color w:val="auto"/>
        </w:rPr>
        <w:t xml:space="preserve">and Enquiry </w:t>
      </w:r>
      <w:r>
        <w:rPr>
          <w:rFonts w:ascii="Calibri" w:hAnsi="Calibri"/>
        </w:rPr>
        <w:t xml:space="preserve">Service. </w:t>
      </w:r>
    </w:p>
    <w:p w:rsidR="004A4D0D" w:rsidRPr="00AC5A99" w:rsidRDefault="004A4D0D" w:rsidP="004A4D0D">
      <w:pPr>
        <w:pStyle w:val="Default"/>
        <w:numPr>
          <w:ilvl w:val="0"/>
          <w:numId w:val="32"/>
        </w:numPr>
        <w:rPr>
          <w:rFonts w:ascii="Calibri" w:hAnsi="Calibri"/>
          <w:color w:val="auto"/>
        </w:rPr>
      </w:pPr>
      <w:r>
        <w:rPr>
          <w:rFonts w:ascii="Calibri" w:hAnsi="Calibri"/>
        </w:rPr>
        <w:lastRenderedPageBreak/>
        <w:t>An applicant who has been identified as Care Experienced according to GCU’s definition.</w:t>
      </w:r>
      <w:r>
        <w:rPr>
          <w:rStyle w:val="FootnoteReference"/>
          <w:rFonts w:ascii="Calibri" w:hAnsi="Calibri"/>
        </w:rPr>
        <w:footnoteReference w:id="3"/>
      </w:r>
      <w:r>
        <w:rPr>
          <w:rFonts w:ascii="Calibri" w:hAnsi="Calibri"/>
        </w:rPr>
        <w:t xml:space="preserve">  Applicants who declare ‘yes’ to the ‘time spent in care’ question on their UCAS application will have their status verified by the Admissions </w:t>
      </w:r>
      <w:r w:rsidRPr="00AC5A99">
        <w:rPr>
          <w:rFonts w:ascii="Calibri" w:hAnsi="Calibri"/>
          <w:color w:val="auto"/>
        </w:rPr>
        <w:t>and Enquiry Service.</w:t>
      </w:r>
    </w:p>
    <w:p w:rsidR="004A4D0D" w:rsidRPr="00AC5A99" w:rsidRDefault="004A4D0D" w:rsidP="004A4D0D">
      <w:pPr>
        <w:pStyle w:val="Default"/>
        <w:numPr>
          <w:ilvl w:val="0"/>
          <w:numId w:val="32"/>
        </w:numPr>
        <w:rPr>
          <w:rFonts w:ascii="Calibri" w:hAnsi="Calibri"/>
          <w:color w:val="auto"/>
        </w:rPr>
      </w:pPr>
      <w:r w:rsidRPr="00AC5A99">
        <w:rPr>
          <w:rFonts w:ascii="Calibri" w:hAnsi="Calibri"/>
          <w:color w:val="auto"/>
        </w:rPr>
        <w:t>An applicant who has been identified as a Refugee or Asylum Seeker. This data is provided by the applicant on the UCAS form and will have their status verified by the Admissions and Enquiry Service.</w:t>
      </w:r>
    </w:p>
    <w:p w:rsidR="004A4D0D" w:rsidRPr="007D7834" w:rsidRDefault="004A4D0D" w:rsidP="004A4D0D">
      <w:pPr>
        <w:pStyle w:val="Default"/>
        <w:numPr>
          <w:ilvl w:val="0"/>
          <w:numId w:val="32"/>
        </w:numPr>
        <w:rPr>
          <w:rFonts w:ascii="Calibri" w:hAnsi="Calibri"/>
          <w:b/>
        </w:rPr>
      </w:pPr>
      <w:r w:rsidRPr="007D7834">
        <w:rPr>
          <w:rFonts w:ascii="Calibri" w:hAnsi="Calibri"/>
        </w:rPr>
        <w:t>An applicant who</w:t>
      </w:r>
      <w:r>
        <w:rPr>
          <w:rFonts w:ascii="Calibri" w:hAnsi="Calibri"/>
        </w:rPr>
        <w:t xml:space="preserve"> </w:t>
      </w:r>
      <w:r w:rsidRPr="00AC5A99">
        <w:rPr>
          <w:rFonts w:ascii="Calibri" w:hAnsi="Calibri"/>
          <w:color w:val="auto"/>
        </w:rPr>
        <w:t>resides in Quintile 1</w:t>
      </w:r>
      <w:r w:rsidR="006D71E6">
        <w:rPr>
          <w:rStyle w:val="FootnoteReference"/>
          <w:rFonts w:ascii="Calibri" w:hAnsi="Calibri"/>
          <w:color w:val="auto"/>
        </w:rPr>
        <w:footnoteReference w:id="4"/>
      </w:r>
      <w:r w:rsidR="006D71E6">
        <w:rPr>
          <w:rFonts w:ascii="Calibri" w:hAnsi="Calibri"/>
          <w:color w:val="auto"/>
        </w:rPr>
        <w:t>.</w:t>
      </w:r>
      <w:r w:rsidRPr="00AC5A99">
        <w:rPr>
          <w:rFonts w:ascii="Calibri" w:hAnsi="Calibri"/>
          <w:color w:val="auto"/>
        </w:rPr>
        <w:t xml:space="preserve"> </w:t>
      </w:r>
      <w:r w:rsidRPr="007D7834">
        <w:rPr>
          <w:rFonts w:ascii="Calibri" w:hAnsi="Calibri"/>
        </w:rPr>
        <w:t xml:space="preserve">This data is provided by the applicant on the UCAS application form.  </w:t>
      </w:r>
    </w:p>
    <w:p w:rsidR="004A4D0D" w:rsidRPr="00912447" w:rsidRDefault="004A4D0D" w:rsidP="004A4D0D">
      <w:pPr>
        <w:pStyle w:val="Default"/>
        <w:numPr>
          <w:ilvl w:val="0"/>
          <w:numId w:val="32"/>
        </w:numPr>
        <w:rPr>
          <w:rFonts w:ascii="Calibri" w:hAnsi="Calibri"/>
          <w:b/>
        </w:rPr>
      </w:pPr>
      <w:r w:rsidRPr="007D7834">
        <w:rPr>
          <w:rFonts w:ascii="Calibri" w:hAnsi="Calibri"/>
        </w:rPr>
        <w:t xml:space="preserve">An applicant who </w:t>
      </w:r>
      <w:r w:rsidRPr="00AC5A99">
        <w:rPr>
          <w:rFonts w:ascii="Calibri" w:hAnsi="Calibri"/>
          <w:color w:val="auto"/>
        </w:rPr>
        <w:t>resides in Quintile 2</w:t>
      </w:r>
      <w:r w:rsidR="006D71E6">
        <w:rPr>
          <w:rStyle w:val="FootnoteReference"/>
          <w:rFonts w:ascii="Calibri" w:hAnsi="Calibri"/>
          <w:color w:val="auto"/>
        </w:rPr>
        <w:footnoteReference w:id="5"/>
      </w:r>
      <w:r w:rsidR="006D71E6">
        <w:rPr>
          <w:rFonts w:ascii="Calibri" w:hAnsi="Calibri"/>
          <w:color w:val="auto"/>
        </w:rPr>
        <w:t>,</w:t>
      </w:r>
      <w:r w:rsidRPr="00AC5A99">
        <w:rPr>
          <w:rFonts w:ascii="Calibri" w:hAnsi="Calibri"/>
          <w:color w:val="auto"/>
        </w:rPr>
        <w:t xml:space="preserve"> and has attended a </w:t>
      </w:r>
      <w:r w:rsidR="00E45F23">
        <w:rPr>
          <w:rFonts w:ascii="Calibri" w:hAnsi="Calibri"/>
          <w:color w:val="auto"/>
        </w:rPr>
        <w:t xml:space="preserve">GCU </w:t>
      </w:r>
      <w:r w:rsidRPr="00AC5A99">
        <w:rPr>
          <w:rFonts w:ascii="Calibri" w:hAnsi="Calibri"/>
          <w:color w:val="auto"/>
        </w:rPr>
        <w:t>School Connect School</w:t>
      </w:r>
      <w:r w:rsidR="00892C78" w:rsidRPr="00AC5A99">
        <w:rPr>
          <w:rFonts w:ascii="Calibri" w:hAnsi="Calibri"/>
          <w:color w:val="auto"/>
        </w:rPr>
        <w:t xml:space="preserve"> or </w:t>
      </w:r>
      <w:r w:rsidRPr="00AC5A99">
        <w:rPr>
          <w:rFonts w:ascii="Calibri" w:hAnsi="Calibri"/>
          <w:color w:val="auto"/>
        </w:rPr>
        <w:t xml:space="preserve">the </w:t>
      </w:r>
      <w:r w:rsidRPr="00892C78">
        <w:rPr>
          <w:rFonts w:ascii="Calibri" w:hAnsi="Calibri"/>
        </w:rPr>
        <w:t>Caledonian Club</w:t>
      </w:r>
      <w:r w:rsidR="00AC5A99">
        <w:rPr>
          <w:rFonts w:ascii="Calibri" w:hAnsi="Calibri"/>
        </w:rPr>
        <w:t>.</w:t>
      </w:r>
      <w:r w:rsidRPr="007D7834">
        <w:rPr>
          <w:rFonts w:ascii="Calibri" w:hAnsi="Calibri"/>
        </w:rPr>
        <w:t xml:space="preserve">  This data is provided by the applicant on the UCAS application form.</w:t>
      </w:r>
    </w:p>
    <w:p w:rsidR="004A4D0D" w:rsidRDefault="004A4D0D" w:rsidP="004A4D0D">
      <w:pPr>
        <w:pStyle w:val="Default"/>
        <w:ind w:left="1440"/>
        <w:rPr>
          <w:rFonts w:ascii="Calibri" w:hAnsi="Calibri"/>
        </w:rPr>
      </w:pPr>
    </w:p>
    <w:p w:rsidR="004A4D0D" w:rsidRPr="007B14BC" w:rsidRDefault="004A4D0D" w:rsidP="004A4D0D">
      <w:pPr>
        <w:pStyle w:val="Default"/>
        <w:numPr>
          <w:ilvl w:val="0"/>
          <w:numId w:val="33"/>
        </w:numPr>
        <w:rPr>
          <w:rFonts w:ascii="Calibri" w:hAnsi="Calibri"/>
        </w:rPr>
      </w:pPr>
      <w:r>
        <w:rPr>
          <w:rFonts w:ascii="Calibri" w:hAnsi="Calibri"/>
          <w:b/>
        </w:rPr>
        <w:t>Review and Monitoring</w:t>
      </w:r>
    </w:p>
    <w:p w:rsidR="004A4D0D" w:rsidRPr="007B14BC" w:rsidRDefault="004A4D0D" w:rsidP="004A4D0D">
      <w:pPr>
        <w:pStyle w:val="Default"/>
        <w:ind w:left="792"/>
        <w:rPr>
          <w:rFonts w:ascii="Calibri" w:hAnsi="Calibri"/>
        </w:rPr>
      </w:pPr>
    </w:p>
    <w:p w:rsidR="004A4D0D" w:rsidRPr="007B14BC" w:rsidRDefault="004A4D0D" w:rsidP="004A4D0D">
      <w:pPr>
        <w:pStyle w:val="Default"/>
        <w:ind w:left="360"/>
        <w:rPr>
          <w:rFonts w:ascii="Calibri" w:hAnsi="Calibri"/>
        </w:rPr>
      </w:pPr>
      <w:r>
        <w:rPr>
          <w:rFonts w:ascii="Calibri" w:hAnsi="Calibri"/>
        </w:rPr>
        <w:t xml:space="preserve">While the </w:t>
      </w:r>
      <w:r w:rsidRPr="00632752">
        <w:rPr>
          <w:rFonts w:ascii="Calibri" w:hAnsi="Calibri" w:cs="Calibri"/>
        </w:rPr>
        <w:t>University is committed to widening access and providing opportunities to students from disadvantaged backgrounds, it is not in the interests of the University or the applicant to admit students who do not have the full potential to succeed. We will therefore monitor students who have been admitted on this basis and monitor the impact of the implementation of the policy.  This information will inform any expansion to or revisions of the policy in future.</w:t>
      </w:r>
    </w:p>
    <w:p w:rsidR="004A4D0D" w:rsidRPr="007B14BC" w:rsidRDefault="004A4D0D" w:rsidP="004A4D0D">
      <w:pPr>
        <w:pStyle w:val="Default"/>
        <w:rPr>
          <w:rFonts w:ascii="Calibri" w:hAnsi="Calibri"/>
        </w:rPr>
      </w:pPr>
    </w:p>
    <w:p w:rsidR="004A4D0D" w:rsidRPr="007B14BC" w:rsidRDefault="004A4D0D" w:rsidP="004A4D0D">
      <w:pPr>
        <w:pStyle w:val="Default"/>
        <w:numPr>
          <w:ilvl w:val="0"/>
          <w:numId w:val="33"/>
        </w:numPr>
        <w:rPr>
          <w:rFonts w:ascii="Calibri" w:hAnsi="Calibri"/>
          <w:b/>
        </w:rPr>
      </w:pPr>
      <w:r>
        <w:rPr>
          <w:rFonts w:ascii="Calibri" w:hAnsi="Calibri"/>
          <w:b/>
        </w:rPr>
        <w:t>Support for Applicants</w:t>
      </w:r>
    </w:p>
    <w:p w:rsidR="004A4D0D" w:rsidRPr="007B14BC" w:rsidRDefault="004A4D0D" w:rsidP="004A4D0D">
      <w:pPr>
        <w:pStyle w:val="Default"/>
        <w:ind w:left="360"/>
        <w:rPr>
          <w:rFonts w:ascii="Calibri" w:hAnsi="Calibri"/>
          <w:b/>
          <w:color w:val="FF0000"/>
        </w:rPr>
      </w:pPr>
    </w:p>
    <w:p w:rsidR="004A4D0D" w:rsidRDefault="004A4D0D" w:rsidP="004A4D0D">
      <w:pPr>
        <w:pStyle w:val="Default"/>
        <w:ind w:left="360"/>
        <w:rPr>
          <w:rFonts w:ascii="Calibri" w:hAnsi="Calibri"/>
        </w:rPr>
      </w:pPr>
      <w:r w:rsidRPr="00632752">
        <w:rPr>
          <w:rFonts w:ascii="Calibri" w:hAnsi="Calibri"/>
        </w:rPr>
        <w:t xml:space="preserve">Applicants admitted on the basis of a contextual </w:t>
      </w:r>
      <w:r w:rsidR="00B1315D">
        <w:rPr>
          <w:rFonts w:ascii="Calibri" w:hAnsi="Calibri"/>
        </w:rPr>
        <w:t xml:space="preserve">offer </w:t>
      </w:r>
      <w:r w:rsidRPr="00632752">
        <w:rPr>
          <w:rFonts w:ascii="Calibri" w:hAnsi="Calibri"/>
        </w:rPr>
        <w:t xml:space="preserve">will have access to the same support services as all other students through the Learning Development Centres in each academic school for academic writing support, advice on study skills and other academic support and guidance.  The University’s Student </w:t>
      </w:r>
      <w:r>
        <w:rPr>
          <w:rFonts w:ascii="Calibri" w:hAnsi="Calibri"/>
        </w:rPr>
        <w:t>Services</w:t>
      </w:r>
      <w:r w:rsidRPr="00632752">
        <w:rPr>
          <w:rFonts w:ascii="Calibri" w:hAnsi="Calibri"/>
        </w:rPr>
        <w:t xml:space="preserve"> offer a range of services for all other support requirements.</w:t>
      </w: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Pr="004E3E6D" w:rsidRDefault="00E45F23" w:rsidP="00E45F23">
      <w:pPr>
        <w:pStyle w:val="Default"/>
        <w:rPr>
          <w:rFonts w:ascii="Calibri" w:hAnsi="Calibri"/>
          <w:b/>
          <w:sz w:val="22"/>
          <w:szCs w:val="22"/>
        </w:rPr>
      </w:pPr>
      <w:r w:rsidRPr="004E3E6D">
        <w:rPr>
          <w:rFonts w:ascii="Calibri" w:hAnsi="Calibri"/>
          <w:b/>
          <w:sz w:val="22"/>
          <w:szCs w:val="22"/>
        </w:rPr>
        <w:t>Glossary of Related Codes of Practice/Policy Documents</w:t>
      </w:r>
      <w:r>
        <w:rPr>
          <w:rFonts w:ascii="Calibri" w:hAnsi="Calibri"/>
          <w:b/>
          <w:sz w:val="22"/>
          <w:szCs w:val="22"/>
        </w:rPr>
        <w:t>/Regulations</w:t>
      </w:r>
      <w:r w:rsidRPr="004E3E6D">
        <w:rPr>
          <w:rFonts w:ascii="Calibri" w:hAnsi="Calibri"/>
          <w:b/>
          <w:sz w:val="22"/>
          <w:szCs w:val="22"/>
        </w:rPr>
        <w:t xml:space="preserve">: </w:t>
      </w:r>
    </w:p>
    <w:p w:rsidR="00E45F23" w:rsidRPr="004E3E6D" w:rsidRDefault="00E45F23" w:rsidP="00E45F23">
      <w:pPr>
        <w:pStyle w:val="Default"/>
        <w:rPr>
          <w:rFonts w:ascii="Calibri" w:hAnsi="Calibri"/>
          <w:sz w:val="22"/>
          <w:szCs w:val="22"/>
        </w:rPr>
      </w:pPr>
    </w:p>
    <w:p w:rsidR="00E45F23" w:rsidRPr="004E3E6D" w:rsidRDefault="00ED108B" w:rsidP="00E45F23">
      <w:pPr>
        <w:pStyle w:val="Default"/>
        <w:rPr>
          <w:rFonts w:ascii="Calibri" w:hAnsi="Calibri"/>
          <w:sz w:val="22"/>
          <w:szCs w:val="22"/>
        </w:rPr>
      </w:pPr>
      <w:hyperlink r:id="rId13" w:history="1">
        <w:r w:rsidR="00E45F23">
          <w:rPr>
            <w:rStyle w:val="Hyperlink"/>
            <w:rFonts w:ascii="Calibri" w:hAnsi="Calibri"/>
            <w:sz w:val="22"/>
            <w:szCs w:val="22"/>
          </w:rPr>
          <w:t>GCU Strategy 2030</w:t>
        </w:r>
      </w:hyperlink>
    </w:p>
    <w:p w:rsidR="00E45F23" w:rsidRPr="004E3E6D" w:rsidRDefault="00E45F23" w:rsidP="00E45F23">
      <w:pPr>
        <w:pStyle w:val="Default"/>
        <w:rPr>
          <w:rFonts w:ascii="Calibri" w:hAnsi="Calibri" w:cs="Calibri"/>
          <w:bCs/>
          <w:color w:val="auto"/>
          <w:sz w:val="22"/>
          <w:szCs w:val="22"/>
        </w:rPr>
      </w:pPr>
    </w:p>
    <w:p w:rsidR="00E45F23" w:rsidRPr="004E3E6D" w:rsidRDefault="00ED108B" w:rsidP="00E45F23">
      <w:pPr>
        <w:pStyle w:val="Default"/>
        <w:rPr>
          <w:rFonts w:ascii="Calibri" w:hAnsi="Calibri" w:cs="Calibri"/>
          <w:bCs/>
          <w:color w:val="auto"/>
          <w:sz w:val="22"/>
          <w:szCs w:val="22"/>
        </w:rPr>
      </w:pPr>
      <w:hyperlink r:id="rId14" w:history="1">
        <w:r w:rsidR="00E45F23">
          <w:rPr>
            <w:rStyle w:val="Hyperlink"/>
            <w:rFonts w:ascii="Calibri" w:hAnsi="Calibri" w:cs="Calibri"/>
            <w:bCs/>
            <w:sz w:val="22"/>
            <w:szCs w:val="22"/>
          </w:rPr>
          <w:t>GCU: Equality and Diversity</w:t>
        </w:r>
      </w:hyperlink>
      <w:r w:rsidR="00E45F23" w:rsidRPr="004E3E6D">
        <w:rPr>
          <w:rFonts w:ascii="Calibri" w:hAnsi="Calibri" w:cs="Calibri"/>
          <w:bCs/>
          <w:color w:val="auto"/>
          <w:sz w:val="22"/>
          <w:szCs w:val="22"/>
        </w:rPr>
        <w:t xml:space="preserve"> </w:t>
      </w:r>
    </w:p>
    <w:p w:rsidR="00E45F23" w:rsidRPr="004E3E6D" w:rsidRDefault="00E45F23" w:rsidP="00E45F23">
      <w:pPr>
        <w:pStyle w:val="Default"/>
        <w:rPr>
          <w:rFonts w:ascii="Calibri" w:hAnsi="Calibri" w:cs="Calibri"/>
          <w:bCs/>
          <w:color w:val="auto"/>
          <w:sz w:val="22"/>
          <w:szCs w:val="22"/>
        </w:rPr>
      </w:pPr>
    </w:p>
    <w:p w:rsidR="00E45F23" w:rsidRDefault="00ED108B" w:rsidP="00E45F23">
      <w:pPr>
        <w:pStyle w:val="Default"/>
        <w:rPr>
          <w:rFonts w:ascii="Calibri" w:hAnsi="Calibri" w:cs="Calibri"/>
          <w:bCs/>
          <w:color w:val="auto"/>
          <w:sz w:val="22"/>
          <w:szCs w:val="22"/>
        </w:rPr>
      </w:pPr>
      <w:hyperlink r:id="rId15" w:history="1">
        <w:r w:rsidR="00E45F23">
          <w:rPr>
            <w:rStyle w:val="Hyperlink"/>
            <w:rFonts w:ascii="Calibri" w:hAnsi="Calibri" w:cs="Calibri"/>
            <w:bCs/>
            <w:sz w:val="22"/>
            <w:szCs w:val="22"/>
          </w:rPr>
          <w:t>GCU: Recognition of Prior Learning (RPL) Policy</w:t>
        </w:r>
      </w:hyperlink>
      <w:r w:rsidR="00E45F23">
        <w:rPr>
          <w:rFonts w:ascii="Calibri" w:hAnsi="Calibri" w:cs="Calibri"/>
          <w:bCs/>
          <w:color w:val="auto"/>
          <w:sz w:val="22"/>
          <w:szCs w:val="22"/>
        </w:rPr>
        <w:t xml:space="preserve"> </w:t>
      </w:r>
    </w:p>
    <w:p w:rsidR="00E45F23" w:rsidRDefault="00E45F23" w:rsidP="00E45F23">
      <w:pPr>
        <w:pStyle w:val="Default"/>
        <w:rPr>
          <w:rFonts w:ascii="Calibri" w:hAnsi="Calibri" w:cs="Calibri"/>
          <w:bCs/>
          <w:color w:val="auto"/>
          <w:sz w:val="22"/>
          <w:szCs w:val="22"/>
        </w:rPr>
      </w:pPr>
    </w:p>
    <w:p w:rsidR="00E45F23" w:rsidRDefault="00ED108B" w:rsidP="00E45F23">
      <w:pPr>
        <w:pStyle w:val="Default"/>
        <w:rPr>
          <w:rFonts w:ascii="Calibri" w:hAnsi="Calibri" w:cs="Calibri"/>
          <w:bCs/>
          <w:color w:val="auto"/>
          <w:sz w:val="22"/>
          <w:szCs w:val="22"/>
        </w:rPr>
      </w:pPr>
      <w:hyperlink r:id="rId16" w:history="1">
        <w:r w:rsidR="00E45F23">
          <w:rPr>
            <w:rStyle w:val="Hyperlink"/>
            <w:rFonts w:ascii="Calibri" w:hAnsi="Calibri" w:cs="Calibri"/>
            <w:bCs/>
            <w:sz w:val="22"/>
            <w:szCs w:val="22"/>
          </w:rPr>
          <w:t>GCU: Complaints Handling Procedure</w:t>
        </w:r>
      </w:hyperlink>
    </w:p>
    <w:p w:rsidR="00E45F23" w:rsidRDefault="00E45F23" w:rsidP="00E45F23">
      <w:pPr>
        <w:pStyle w:val="Default"/>
        <w:rPr>
          <w:rFonts w:ascii="Calibri" w:hAnsi="Calibri" w:cs="Calibri"/>
          <w:bCs/>
          <w:color w:val="auto"/>
          <w:sz w:val="22"/>
          <w:szCs w:val="22"/>
        </w:rPr>
      </w:pPr>
    </w:p>
    <w:p w:rsidR="00E45F23" w:rsidRDefault="00ED108B" w:rsidP="00E45F23">
      <w:hyperlink r:id="rId17" w:history="1">
        <w:r w:rsidR="00E45F23" w:rsidRPr="00B952F7">
          <w:rPr>
            <w:rStyle w:val="Hyperlink"/>
          </w:rPr>
          <w:t>GCU: Student Terms and Conditions</w:t>
        </w:r>
      </w:hyperlink>
      <w:r w:rsidR="00E45F23">
        <w:t xml:space="preserve"> </w:t>
      </w:r>
    </w:p>
    <w:p w:rsidR="00E45F23" w:rsidRDefault="00ED108B" w:rsidP="00E45F23">
      <w:hyperlink r:id="rId18" w:history="1">
        <w:r w:rsidR="00E45F23" w:rsidRPr="00B952F7">
          <w:rPr>
            <w:rStyle w:val="Hyperlink"/>
          </w:rPr>
          <w:t>GCU: Code of Student Conduct</w:t>
        </w:r>
      </w:hyperlink>
    </w:p>
    <w:p w:rsidR="00E45F23" w:rsidRPr="00930C15" w:rsidRDefault="00ED108B" w:rsidP="00E45F23">
      <w:hyperlink r:id="rId19" w:history="1">
        <w:r w:rsidR="00E45F23">
          <w:rPr>
            <w:rStyle w:val="Hyperlink"/>
          </w:rPr>
          <w:t>GCU: College Connect</w:t>
        </w:r>
      </w:hyperlink>
      <w:r w:rsidR="00E45F23">
        <w:t xml:space="preserve"> </w:t>
      </w:r>
    </w:p>
    <w:p w:rsidR="00E45F23" w:rsidRDefault="00ED108B" w:rsidP="00E45F23">
      <w:pPr>
        <w:pStyle w:val="Default"/>
        <w:rPr>
          <w:rFonts w:ascii="Calibri" w:hAnsi="Calibri" w:cs="Calibri"/>
          <w:sz w:val="22"/>
          <w:szCs w:val="22"/>
        </w:rPr>
      </w:pPr>
      <w:hyperlink r:id="rId20" w:history="1">
        <w:r w:rsidR="00E45F23">
          <w:rPr>
            <w:rStyle w:val="Hyperlink"/>
            <w:rFonts w:ascii="Calibri" w:hAnsi="Calibri" w:cs="Calibri"/>
            <w:sz w:val="22"/>
            <w:szCs w:val="22"/>
          </w:rPr>
          <w:t>Common Good Curriculum</w:t>
        </w:r>
      </w:hyperlink>
    </w:p>
    <w:p w:rsidR="00E45F23" w:rsidRDefault="00E45F23" w:rsidP="00E45F23">
      <w:pPr>
        <w:pStyle w:val="Default"/>
        <w:rPr>
          <w:rFonts w:ascii="Calibri" w:hAnsi="Calibri" w:cs="Calibri"/>
          <w:sz w:val="22"/>
          <w:szCs w:val="22"/>
        </w:rPr>
      </w:pPr>
    </w:p>
    <w:p w:rsidR="00E45F23" w:rsidRDefault="00ED108B" w:rsidP="00E45F23">
      <w:pPr>
        <w:pStyle w:val="Default"/>
        <w:rPr>
          <w:rFonts w:ascii="Calibri" w:hAnsi="Calibri" w:cs="Calibri"/>
          <w:sz w:val="22"/>
          <w:szCs w:val="22"/>
        </w:rPr>
      </w:pPr>
      <w:hyperlink r:id="rId21" w:history="1">
        <w:r w:rsidR="00E45F23">
          <w:rPr>
            <w:rStyle w:val="Hyperlink"/>
            <w:rFonts w:ascii="Calibri" w:hAnsi="Calibri" w:cs="Calibri"/>
            <w:sz w:val="22"/>
            <w:szCs w:val="22"/>
          </w:rPr>
          <w:t>Discover Uni</w:t>
        </w:r>
      </w:hyperlink>
    </w:p>
    <w:p w:rsidR="00E45F23" w:rsidRDefault="00E45F23" w:rsidP="00E45F23">
      <w:pPr>
        <w:pStyle w:val="Default"/>
        <w:rPr>
          <w:rFonts w:ascii="Calibri" w:hAnsi="Calibri" w:cs="Calibri"/>
          <w:bCs/>
          <w:color w:val="auto"/>
          <w:sz w:val="22"/>
          <w:szCs w:val="22"/>
        </w:rPr>
      </w:pPr>
    </w:p>
    <w:p w:rsidR="00E45F23" w:rsidRPr="004E3E6D" w:rsidRDefault="00ED108B" w:rsidP="00E45F23">
      <w:pPr>
        <w:pStyle w:val="Default"/>
        <w:rPr>
          <w:rFonts w:ascii="Calibri" w:hAnsi="Calibri" w:cs="Calibri"/>
          <w:bCs/>
          <w:sz w:val="22"/>
          <w:szCs w:val="22"/>
        </w:rPr>
      </w:pPr>
      <w:hyperlink r:id="rId22" w:history="1">
        <w:r w:rsidR="00E45F23">
          <w:rPr>
            <w:rStyle w:val="Hyperlink"/>
            <w:rFonts w:ascii="Calibri" w:hAnsi="Calibri" w:cs="Calibri"/>
            <w:bCs/>
            <w:sz w:val="22"/>
            <w:szCs w:val="22"/>
          </w:rPr>
          <w:t>Quality Assurance Agency (QAA) Quality Code</w:t>
        </w:r>
      </w:hyperlink>
    </w:p>
    <w:p w:rsidR="00E45F23" w:rsidRPr="004E3E6D" w:rsidRDefault="00E45F23" w:rsidP="00E45F23">
      <w:pPr>
        <w:pStyle w:val="Default"/>
        <w:rPr>
          <w:rFonts w:ascii="Calibri" w:hAnsi="Calibri" w:cs="Calibri"/>
          <w:bCs/>
          <w:sz w:val="22"/>
          <w:szCs w:val="22"/>
        </w:rPr>
      </w:pPr>
    </w:p>
    <w:p w:rsidR="00E45F23" w:rsidRPr="004E3E6D" w:rsidRDefault="00ED108B" w:rsidP="00E45F23">
      <w:pPr>
        <w:pStyle w:val="Default"/>
        <w:rPr>
          <w:rFonts w:ascii="Calibri" w:hAnsi="Calibri" w:cs="Calibri"/>
          <w:bCs/>
          <w:sz w:val="22"/>
          <w:szCs w:val="22"/>
        </w:rPr>
      </w:pPr>
      <w:hyperlink r:id="rId23" w:history="1">
        <w:r w:rsidR="00E45F23">
          <w:rPr>
            <w:rStyle w:val="Hyperlink"/>
            <w:rFonts w:ascii="Calibri" w:hAnsi="Calibri" w:cs="Calibri"/>
            <w:bCs/>
            <w:sz w:val="22"/>
            <w:szCs w:val="22"/>
          </w:rPr>
          <w:t>Schwartz Report - Fair Admissions to Higher Education</w:t>
        </w:r>
      </w:hyperlink>
      <w:r w:rsidR="00E45F23">
        <w:rPr>
          <w:rFonts w:ascii="Calibri" w:hAnsi="Calibri" w:cs="Calibri"/>
          <w:bCs/>
          <w:sz w:val="22"/>
          <w:szCs w:val="22"/>
        </w:rPr>
        <w:t xml:space="preserve"> </w:t>
      </w:r>
    </w:p>
    <w:p w:rsidR="00E45F23" w:rsidRPr="004E3E6D" w:rsidRDefault="00E45F23" w:rsidP="00E45F23">
      <w:pPr>
        <w:pStyle w:val="Default"/>
        <w:rPr>
          <w:rFonts w:ascii="Calibri" w:hAnsi="Calibri" w:cs="Calibri"/>
          <w:sz w:val="22"/>
          <w:szCs w:val="22"/>
        </w:rPr>
      </w:pPr>
    </w:p>
    <w:p w:rsidR="00E45F23" w:rsidRPr="004E3E6D" w:rsidRDefault="00ED108B" w:rsidP="00E45F23">
      <w:pPr>
        <w:pStyle w:val="Default"/>
        <w:rPr>
          <w:rFonts w:ascii="Calibri" w:hAnsi="Calibri" w:cs="Calibri"/>
          <w:sz w:val="22"/>
          <w:szCs w:val="22"/>
        </w:rPr>
      </w:pPr>
      <w:hyperlink r:id="rId24" w:history="1">
        <w:r w:rsidR="00E45F23">
          <w:rPr>
            <w:rStyle w:val="Hyperlink"/>
            <w:rFonts w:ascii="Calibri" w:hAnsi="Calibri" w:cs="Calibri"/>
            <w:sz w:val="22"/>
            <w:szCs w:val="22"/>
          </w:rPr>
          <w:t>Scottish Qualifications Framework</w:t>
        </w:r>
      </w:hyperlink>
      <w:r w:rsidR="00E45F23">
        <w:rPr>
          <w:rFonts w:ascii="Calibri" w:hAnsi="Calibri" w:cs="Calibri"/>
          <w:sz w:val="22"/>
          <w:szCs w:val="22"/>
        </w:rPr>
        <w:t xml:space="preserve"> </w:t>
      </w:r>
    </w:p>
    <w:p w:rsidR="00E45F23" w:rsidRPr="00930C15" w:rsidRDefault="00E45F23" w:rsidP="00E45F23">
      <w:pPr>
        <w:pStyle w:val="Default"/>
        <w:rPr>
          <w:rFonts w:ascii="Calibri" w:hAnsi="Calibri" w:cs="Calibri"/>
          <w:color w:val="auto"/>
          <w:sz w:val="22"/>
          <w:szCs w:val="22"/>
        </w:rPr>
      </w:pPr>
      <w:r w:rsidRPr="00930C15">
        <w:rPr>
          <w:rFonts w:ascii="Calibri" w:hAnsi="Calibri" w:cs="Calibri"/>
          <w:color w:val="auto"/>
          <w:sz w:val="22"/>
          <w:szCs w:val="22"/>
        </w:rPr>
        <w:t xml:space="preserve"> </w:t>
      </w:r>
    </w:p>
    <w:p w:rsidR="00E45F23" w:rsidRDefault="00ED108B" w:rsidP="00E45F23">
      <w:pPr>
        <w:pStyle w:val="Default"/>
        <w:rPr>
          <w:rFonts w:ascii="Calibri" w:hAnsi="Calibri" w:cs="Calibri"/>
          <w:color w:val="auto"/>
          <w:sz w:val="22"/>
          <w:szCs w:val="22"/>
        </w:rPr>
      </w:pPr>
      <w:hyperlink r:id="rId25" w:history="1">
        <w:r w:rsidR="00E45F23">
          <w:rPr>
            <w:rStyle w:val="Hyperlink"/>
            <w:rFonts w:ascii="Calibri" w:hAnsi="Calibri" w:cs="Calibri"/>
            <w:sz w:val="22"/>
            <w:szCs w:val="22"/>
          </w:rPr>
          <w:t>UK Visas and Immigration (UKVI)</w:t>
        </w:r>
      </w:hyperlink>
    </w:p>
    <w:p w:rsidR="00E45F23" w:rsidRDefault="00E45F23" w:rsidP="00E45F23">
      <w:pPr>
        <w:pStyle w:val="Default"/>
        <w:rPr>
          <w:rFonts w:ascii="Calibri" w:hAnsi="Calibri" w:cs="Calibri"/>
          <w:color w:val="auto"/>
          <w:sz w:val="22"/>
          <w:szCs w:val="22"/>
        </w:rPr>
      </w:pPr>
    </w:p>
    <w:p w:rsidR="00E45F23" w:rsidRPr="004E3E6D" w:rsidRDefault="00ED108B" w:rsidP="00E45F23">
      <w:pPr>
        <w:pStyle w:val="Default"/>
        <w:rPr>
          <w:rFonts w:ascii="Calibri" w:hAnsi="Calibri" w:cs="Calibri"/>
          <w:sz w:val="22"/>
          <w:szCs w:val="22"/>
        </w:rPr>
      </w:pPr>
      <w:hyperlink r:id="rId26" w:history="1">
        <w:r w:rsidR="00E45F23">
          <w:rPr>
            <w:rStyle w:val="Hyperlink"/>
            <w:rFonts w:ascii="Calibri" w:hAnsi="Calibri" w:cs="Calibri"/>
            <w:sz w:val="22"/>
            <w:szCs w:val="22"/>
          </w:rPr>
          <w:t>ECCTIS - National Agency responsible for providing information, advice and expert opinion on qualifications worldwide</w:t>
        </w:r>
      </w:hyperlink>
      <w:r w:rsidR="00E45F23">
        <w:rPr>
          <w:rFonts w:ascii="Calibri" w:hAnsi="Calibri" w:cs="Calibri"/>
          <w:sz w:val="22"/>
          <w:szCs w:val="22"/>
        </w:rPr>
        <w:t xml:space="preserve"> </w:t>
      </w:r>
    </w:p>
    <w:p w:rsidR="00E45F23" w:rsidRPr="004E3E6D" w:rsidRDefault="00E45F23" w:rsidP="00E45F23">
      <w:pPr>
        <w:pStyle w:val="Default"/>
        <w:rPr>
          <w:rFonts w:ascii="Calibri" w:hAnsi="Calibri" w:cs="Calibri"/>
          <w:sz w:val="22"/>
          <w:szCs w:val="22"/>
        </w:rPr>
      </w:pPr>
      <w:r>
        <w:rPr>
          <w:rFonts w:ascii="Calibri" w:hAnsi="Calibri" w:cs="Calibri"/>
          <w:sz w:val="22"/>
          <w:szCs w:val="22"/>
        </w:rPr>
        <w:t xml:space="preserve"> </w:t>
      </w:r>
    </w:p>
    <w:p w:rsidR="00E45F23" w:rsidRPr="004E3E6D" w:rsidRDefault="00ED108B" w:rsidP="00E45F23">
      <w:pPr>
        <w:pStyle w:val="Default"/>
        <w:rPr>
          <w:rFonts w:ascii="Calibri" w:hAnsi="Calibri" w:cs="Calibri"/>
          <w:sz w:val="22"/>
          <w:szCs w:val="22"/>
        </w:rPr>
      </w:pPr>
      <w:hyperlink r:id="rId27" w:history="1">
        <w:r w:rsidR="00E45F23">
          <w:rPr>
            <w:rStyle w:val="Hyperlink"/>
            <w:rFonts w:ascii="Calibri" w:hAnsi="Calibri" w:cs="Calibri"/>
            <w:sz w:val="22"/>
            <w:szCs w:val="22"/>
          </w:rPr>
          <w:t>CMA - UK higher education providers - advice on consumer protection law</w:t>
        </w:r>
      </w:hyperlink>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rPr>
          <w:rFonts w:ascii="Calibri" w:hAnsi="Calibri"/>
        </w:rPr>
      </w:pPr>
    </w:p>
    <w:p w:rsidR="00E45F23" w:rsidRDefault="00E45F23" w:rsidP="004A4D0D">
      <w:pPr>
        <w:pStyle w:val="Default"/>
        <w:ind w:left="360"/>
      </w:pPr>
    </w:p>
    <w:p w:rsidR="004A4D0D" w:rsidRDefault="004A4D0D" w:rsidP="004A4D0D"/>
    <w:p w:rsidR="004A4D0D" w:rsidRDefault="004A4D0D" w:rsidP="004A4D0D"/>
    <w:p w:rsidR="004A4D0D" w:rsidRPr="00C62668" w:rsidRDefault="004A4D0D" w:rsidP="00C62668">
      <w:pPr>
        <w:jc w:val="right"/>
      </w:pPr>
    </w:p>
    <w:sectPr w:rsidR="004A4D0D" w:rsidRPr="00C62668" w:rsidSect="00C62668">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08B" w:rsidRDefault="00ED108B" w:rsidP="000F1700">
      <w:pPr>
        <w:spacing w:after="0" w:line="240" w:lineRule="auto"/>
      </w:pPr>
      <w:r>
        <w:separator/>
      </w:r>
    </w:p>
  </w:endnote>
  <w:endnote w:type="continuationSeparator" w:id="0">
    <w:p w:rsidR="00ED108B" w:rsidRDefault="00ED108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0D" w:rsidRPr="00F32C5B" w:rsidRDefault="00DB740D" w:rsidP="00DB740D">
    <w:pPr>
      <w:pStyle w:val="Footer"/>
      <w:jc w:val="center"/>
      <w:rPr>
        <w:rFonts w:cstheme="minorHAnsi"/>
        <w:caps/>
        <w:noProof/>
        <w:sz w:val="18"/>
        <w:szCs w:val="18"/>
      </w:rPr>
    </w:pPr>
    <w:r w:rsidRPr="00F32C5B">
      <w:rPr>
        <w:rFonts w:cstheme="minorHAnsi"/>
        <w:caps/>
        <w:sz w:val="18"/>
        <w:szCs w:val="18"/>
      </w:rPr>
      <w:t xml:space="preserve">Page </w:t>
    </w:r>
    <w:r w:rsidRPr="00F32C5B">
      <w:rPr>
        <w:rFonts w:cstheme="minorHAnsi"/>
        <w:caps/>
        <w:sz w:val="18"/>
        <w:szCs w:val="18"/>
      </w:rPr>
      <w:fldChar w:fldCharType="begin"/>
    </w:r>
    <w:r w:rsidRPr="00F32C5B">
      <w:rPr>
        <w:rFonts w:cstheme="minorHAnsi"/>
        <w:caps/>
        <w:sz w:val="18"/>
        <w:szCs w:val="18"/>
      </w:rPr>
      <w:instrText xml:space="preserve"> PAGE   \* MERGEFORMAT </w:instrText>
    </w:r>
    <w:r w:rsidRPr="00F32C5B">
      <w:rPr>
        <w:rFonts w:cstheme="minorHAnsi"/>
        <w:caps/>
        <w:sz w:val="18"/>
        <w:szCs w:val="18"/>
      </w:rPr>
      <w:fldChar w:fldCharType="separate"/>
    </w:r>
    <w:r w:rsidR="0023739F">
      <w:rPr>
        <w:rFonts w:cstheme="minorHAnsi"/>
        <w:caps/>
        <w:noProof/>
        <w:sz w:val="18"/>
        <w:szCs w:val="18"/>
      </w:rPr>
      <w:t>1</w:t>
    </w:r>
    <w:r w:rsidRPr="00F32C5B">
      <w:rPr>
        <w:rFonts w:cstheme="minorHAnsi"/>
        <w:caps/>
        <w:noProof/>
        <w:sz w:val="18"/>
        <w:szCs w:val="18"/>
      </w:rPr>
      <w:fldChar w:fldCharType="end"/>
    </w:r>
  </w:p>
  <w:p w:rsidR="006064F7" w:rsidRDefault="0060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08B" w:rsidRDefault="00ED108B" w:rsidP="000F1700">
      <w:pPr>
        <w:spacing w:after="0" w:line="240" w:lineRule="auto"/>
      </w:pPr>
      <w:r>
        <w:separator/>
      </w:r>
    </w:p>
  </w:footnote>
  <w:footnote w:type="continuationSeparator" w:id="0">
    <w:p w:rsidR="00ED108B" w:rsidRDefault="00ED108B" w:rsidP="000F1700">
      <w:pPr>
        <w:spacing w:after="0" w:line="240" w:lineRule="auto"/>
      </w:pPr>
      <w:r>
        <w:continuationSeparator/>
      </w:r>
    </w:p>
  </w:footnote>
  <w:footnote w:id="1">
    <w:p w:rsidR="004A4D0D" w:rsidRPr="00921130" w:rsidRDefault="004A4D0D" w:rsidP="004A4D0D">
      <w:pPr>
        <w:pStyle w:val="FootnoteText"/>
        <w:rPr>
          <w:i/>
          <w:sz w:val="16"/>
          <w:szCs w:val="16"/>
        </w:rPr>
      </w:pPr>
      <w:r>
        <w:rPr>
          <w:rStyle w:val="FootnoteReference"/>
        </w:rPr>
        <w:footnoteRef/>
      </w:r>
      <w:r>
        <w:t xml:space="preserve"> </w:t>
      </w:r>
      <w:r>
        <w:rPr>
          <w:i/>
          <w:sz w:val="16"/>
          <w:szCs w:val="16"/>
        </w:rPr>
        <w:t>The Higher Education Statistics Agency (HESA) is the official agency for collection, analysis and dissemination of quantitative information about higher education. Performance Indicators provide comparative data on the performance of institutions in widening participation, student retention, learning and teaching outcomes, research output and employment of graduates. They cover publicly-funded higher education institutions in the UK.</w:t>
      </w:r>
    </w:p>
  </w:footnote>
  <w:footnote w:id="2">
    <w:p w:rsidR="004A4D0D" w:rsidRDefault="004A4D0D" w:rsidP="004A4D0D">
      <w:pPr>
        <w:pStyle w:val="FootnoteText"/>
      </w:pPr>
      <w:r w:rsidRPr="00E76F86">
        <w:rPr>
          <w:rStyle w:val="FootnoteReference"/>
          <w:i/>
        </w:rPr>
        <w:footnoteRef/>
      </w:r>
      <w:r w:rsidRPr="00E76F86">
        <w:rPr>
          <w:i/>
        </w:rPr>
        <w:t xml:space="preserve"> </w:t>
      </w:r>
      <w:r w:rsidRPr="00E76F86">
        <w:rPr>
          <w:i/>
          <w:sz w:val="16"/>
          <w:szCs w:val="16"/>
        </w:rPr>
        <w:t>A</w:t>
      </w:r>
      <w:r w:rsidRPr="0067201D">
        <w:rPr>
          <w:i/>
          <w:sz w:val="16"/>
          <w:szCs w:val="16"/>
        </w:rPr>
        <w:t xml:space="preserve"> </w:t>
      </w:r>
      <w:r>
        <w:rPr>
          <w:i/>
          <w:sz w:val="16"/>
          <w:szCs w:val="16"/>
        </w:rPr>
        <w:t>young carer is a child or young person aged under 18 who has a significant role in looking after someone else who is experiencing illness or disability.</w:t>
      </w:r>
    </w:p>
  </w:footnote>
  <w:footnote w:id="3">
    <w:p w:rsidR="006D71E6" w:rsidRDefault="004A4D0D" w:rsidP="004A4D0D">
      <w:pPr>
        <w:pStyle w:val="FootnoteText"/>
      </w:pPr>
      <w:r w:rsidRPr="0067201D">
        <w:rPr>
          <w:i/>
          <w:sz w:val="16"/>
          <w:szCs w:val="16"/>
        </w:rPr>
        <w:footnoteRef/>
      </w:r>
      <w:r w:rsidRPr="0067201D">
        <w:rPr>
          <w:i/>
          <w:sz w:val="16"/>
          <w:szCs w:val="16"/>
        </w:rPr>
        <w:t xml:space="preserve"> A Care </w:t>
      </w:r>
      <w:r>
        <w:rPr>
          <w:i/>
          <w:sz w:val="16"/>
          <w:szCs w:val="16"/>
        </w:rPr>
        <w:t xml:space="preserve">Experienced student </w:t>
      </w:r>
      <w:r w:rsidRPr="0067201D">
        <w:rPr>
          <w:i/>
          <w:sz w:val="16"/>
          <w:szCs w:val="16"/>
        </w:rPr>
        <w:t xml:space="preserve">is defined as </w:t>
      </w:r>
      <w:r w:rsidR="006F4632">
        <w:rPr>
          <w:i/>
          <w:sz w:val="16"/>
          <w:szCs w:val="16"/>
        </w:rPr>
        <w:t xml:space="preserve">anyone who has been or is currently in care or from a looked after background at any stage of their life, no matter how short, including adopted children who were previously looked after. Care may have been provided in one of many different settings, such as residential care, foster care, kinship care, or looked </w:t>
      </w:r>
      <w:r w:rsidR="00DF4880">
        <w:rPr>
          <w:i/>
          <w:sz w:val="16"/>
          <w:szCs w:val="16"/>
        </w:rPr>
        <w:t xml:space="preserve">after </w:t>
      </w:r>
      <w:r w:rsidR="006F4632">
        <w:rPr>
          <w:i/>
          <w:sz w:val="16"/>
          <w:szCs w:val="16"/>
        </w:rPr>
        <w:t xml:space="preserve">at home with a supervision requirement. There </w:t>
      </w:r>
      <w:proofErr w:type="gramStart"/>
      <w:r w:rsidR="006F4632">
        <w:rPr>
          <w:i/>
          <w:sz w:val="16"/>
          <w:szCs w:val="16"/>
        </w:rPr>
        <w:t>is</w:t>
      </w:r>
      <w:proofErr w:type="gramEnd"/>
      <w:r w:rsidR="006F4632">
        <w:rPr>
          <w:i/>
          <w:sz w:val="16"/>
          <w:szCs w:val="16"/>
        </w:rPr>
        <w:t xml:space="preserve"> no age restrictions on our definition of care experienced.</w:t>
      </w:r>
    </w:p>
  </w:footnote>
  <w:footnote w:id="4">
    <w:p w:rsidR="006D71E6" w:rsidRDefault="006D71E6">
      <w:pPr>
        <w:pStyle w:val="FootnoteText"/>
      </w:pPr>
      <w:r>
        <w:rPr>
          <w:rStyle w:val="FootnoteReference"/>
        </w:rPr>
        <w:footnoteRef/>
      </w:r>
      <w:r>
        <w:t xml:space="preserve"> </w:t>
      </w:r>
      <w:r w:rsidRPr="00E72F51">
        <w:rPr>
          <w:i/>
          <w:sz w:val="16"/>
          <w:szCs w:val="16"/>
        </w:rPr>
        <w:t>An applicant who resides in Quintile 1 as defined by Scottish Index of Multiple Deprivation (SIMD).</w:t>
      </w:r>
    </w:p>
  </w:footnote>
  <w:footnote w:id="5">
    <w:p w:rsidR="006D71E6" w:rsidRDefault="006D71E6">
      <w:pPr>
        <w:pStyle w:val="FootnoteText"/>
      </w:pPr>
      <w:r>
        <w:rPr>
          <w:rStyle w:val="FootnoteReference"/>
        </w:rPr>
        <w:footnoteRef/>
      </w:r>
      <w:r>
        <w:t xml:space="preserve"> </w:t>
      </w:r>
      <w:r w:rsidRPr="00E72F51">
        <w:rPr>
          <w:i/>
          <w:sz w:val="16"/>
          <w:szCs w:val="16"/>
        </w:rPr>
        <w:t xml:space="preserve">An applicant who resides in Quintile </w:t>
      </w:r>
      <w:r>
        <w:rPr>
          <w:i/>
          <w:sz w:val="16"/>
          <w:szCs w:val="16"/>
        </w:rPr>
        <w:t>2</w:t>
      </w:r>
      <w:r w:rsidRPr="00E72F51">
        <w:rPr>
          <w:i/>
          <w:sz w:val="16"/>
          <w:szCs w:val="16"/>
        </w:rPr>
        <w:t xml:space="preserve"> as defined by Scottish Index of Multiple Deprivation (SIMD).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ACA"/>
    <w:multiLevelType w:val="hybridMultilevel"/>
    <w:tmpl w:val="C35891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B65E0"/>
    <w:multiLevelType w:val="hybridMultilevel"/>
    <w:tmpl w:val="1CAA2E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5335BB"/>
    <w:multiLevelType w:val="hybridMultilevel"/>
    <w:tmpl w:val="702E2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94536"/>
    <w:multiLevelType w:val="hybridMultilevel"/>
    <w:tmpl w:val="DCBCC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D302C"/>
    <w:multiLevelType w:val="hybridMultilevel"/>
    <w:tmpl w:val="29922710"/>
    <w:lvl w:ilvl="0" w:tplc="FEBE5722">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16284E"/>
    <w:multiLevelType w:val="hybridMultilevel"/>
    <w:tmpl w:val="DDB6438E"/>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15D560B"/>
    <w:multiLevelType w:val="hybridMultilevel"/>
    <w:tmpl w:val="74BA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F6E3E"/>
    <w:multiLevelType w:val="hybridMultilevel"/>
    <w:tmpl w:val="30B02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FB3D9F"/>
    <w:multiLevelType w:val="hybridMultilevel"/>
    <w:tmpl w:val="CD722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20322"/>
    <w:multiLevelType w:val="hybridMultilevel"/>
    <w:tmpl w:val="DBAC17A0"/>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B498C"/>
    <w:multiLevelType w:val="multilevel"/>
    <w:tmpl w:val="42CE28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9311A2E"/>
    <w:multiLevelType w:val="hybridMultilevel"/>
    <w:tmpl w:val="346EBDE0"/>
    <w:lvl w:ilvl="0" w:tplc="0428CD70">
      <w:start w:val="1"/>
      <w:numFmt w:val="decimal"/>
      <w:lvlText w:val="%1."/>
      <w:lvlJc w:val="left"/>
      <w:pPr>
        <w:ind w:left="720" w:hanging="360"/>
      </w:pPr>
      <w:rPr>
        <w:rFonts w:asciiTheme="minorHAnsi" w:hAnsiTheme="minorHAnsi" w:hint="default"/>
        <w:b/>
        <w:sz w:val="22"/>
        <w:szCs w:val="22"/>
      </w:rPr>
    </w:lvl>
    <w:lvl w:ilvl="1" w:tplc="D6228B54">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C4DBD"/>
    <w:multiLevelType w:val="hybridMultilevel"/>
    <w:tmpl w:val="2828EED6"/>
    <w:lvl w:ilvl="0" w:tplc="08090013">
      <w:start w:val="1"/>
      <w:numFmt w:val="upp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292B19EB"/>
    <w:multiLevelType w:val="hybridMultilevel"/>
    <w:tmpl w:val="ECA4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62658"/>
    <w:multiLevelType w:val="hybridMultilevel"/>
    <w:tmpl w:val="5A9A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804A9"/>
    <w:multiLevelType w:val="hybridMultilevel"/>
    <w:tmpl w:val="B5309544"/>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F2E79"/>
    <w:multiLevelType w:val="hybridMultilevel"/>
    <w:tmpl w:val="2EAC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10634"/>
    <w:multiLevelType w:val="hybridMultilevel"/>
    <w:tmpl w:val="3BAC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062E"/>
    <w:multiLevelType w:val="hybridMultilevel"/>
    <w:tmpl w:val="94086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D1D79"/>
    <w:multiLevelType w:val="hybridMultilevel"/>
    <w:tmpl w:val="BFE085D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E481E72"/>
    <w:multiLevelType w:val="hybridMultilevel"/>
    <w:tmpl w:val="8BB0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E4F3C"/>
    <w:multiLevelType w:val="hybridMultilevel"/>
    <w:tmpl w:val="EFC4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C3BF9"/>
    <w:multiLevelType w:val="hybridMultilevel"/>
    <w:tmpl w:val="1C26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56A59"/>
    <w:multiLevelType w:val="hybridMultilevel"/>
    <w:tmpl w:val="6AE2C8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A4C4F2E"/>
    <w:multiLevelType w:val="hybridMultilevel"/>
    <w:tmpl w:val="D3782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277D7"/>
    <w:multiLevelType w:val="multilevel"/>
    <w:tmpl w:val="349A6F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7C7972"/>
    <w:multiLevelType w:val="hybridMultilevel"/>
    <w:tmpl w:val="C5A4D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603847"/>
    <w:multiLevelType w:val="hybridMultilevel"/>
    <w:tmpl w:val="7868A2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BAA1F9E"/>
    <w:multiLevelType w:val="hybridMultilevel"/>
    <w:tmpl w:val="F93E44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20677"/>
    <w:multiLevelType w:val="hybridMultilevel"/>
    <w:tmpl w:val="75CA5E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6B56123"/>
    <w:multiLevelType w:val="hybridMultilevel"/>
    <w:tmpl w:val="7C02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D2E50"/>
    <w:multiLevelType w:val="hybridMultilevel"/>
    <w:tmpl w:val="03A8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06B08"/>
    <w:multiLevelType w:val="hybridMultilevel"/>
    <w:tmpl w:val="74CA0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5"/>
  </w:num>
  <w:num w:numId="4">
    <w:abstractNumId w:val="24"/>
  </w:num>
  <w:num w:numId="5">
    <w:abstractNumId w:val="19"/>
  </w:num>
  <w:num w:numId="6">
    <w:abstractNumId w:val="12"/>
  </w:num>
  <w:num w:numId="7">
    <w:abstractNumId w:val="27"/>
  </w:num>
  <w:num w:numId="8">
    <w:abstractNumId w:val="23"/>
  </w:num>
  <w:num w:numId="9">
    <w:abstractNumId w:val="1"/>
  </w:num>
  <w:num w:numId="10">
    <w:abstractNumId w:val="5"/>
  </w:num>
  <w:num w:numId="11">
    <w:abstractNumId w:val="16"/>
  </w:num>
  <w:num w:numId="12">
    <w:abstractNumId w:val="21"/>
  </w:num>
  <w:num w:numId="13">
    <w:abstractNumId w:val="29"/>
  </w:num>
  <w:num w:numId="14">
    <w:abstractNumId w:val="30"/>
  </w:num>
  <w:num w:numId="15">
    <w:abstractNumId w:val="26"/>
  </w:num>
  <w:num w:numId="16">
    <w:abstractNumId w:val="8"/>
  </w:num>
  <w:num w:numId="17">
    <w:abstractNumId w:val="9"/>
  </w:num>
  <w:num w:numId="18">
    <w:abstractNumId w:val="28"/>
  </w:num>
  <w:num w:numId="19">
    <w:abstractNumId w:val="7"/>
  </w:num>
  <w:num w:numId="20">
    <w:abstractNumId w:val="18"/>
  </w:num>
  <w:num w:numId="21">
    <w:abstractNumId w:val="22"/>
  </w:num>
  <w:num w:numId="22">
    <w:abstractNumId w:val="32"/>
  </w:num>
  <w:num w:numId="23">
    <w:abstractNumId w:val="20"/>
  </w:num>
  <w:num w:numId="24">
    <w:abstractNumId w:val="0"/>
  </w:num>
  <w:num w:numId="25">
    <w:abstractNumId w:val="6"/>
  </w:num>
  <w:num w:numId="26">
    <w:abstractNumId w:val="11"/>
  </w:num>
  <w:num w:numId="27">
    <w:abstractNumId w:val="14"/>
  </w:num>
  <w:num w:numId="28">
    <w:abstractNumId w:val="10"/>
  </w:num>
  <w:num w:numId="29">
    <w:abstractNumId w:val="31"/>
  </w:num>
  <w:num w:numId="30">
    <w:abstractNumId w:val="13"/>
  </w:num>
  <w:num w:numId="31">
    <w:abstractNumId w:val="17"/>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38"/>
    <w:rsid w:val="00006F3F"/>
    <w:rsid w:val="00007323"/>
    <w:rsid w:val="00017A1B"/>
    <w:rsid w:val="000222AB"/>
    <w:rsid w:val="00030631"/>
    <w:rsid w:val="00037A37"/>
    <w:rsid w:val="00037AC7"/>
    <w:rsid w:val="0004421F"/>
    <w:rsid w:val="000611DE"/>
    <w:rsid w:val="00064EE1"/>
    <w:rsid w:val="000665B5"/>
    <w:rsid w:val="000914A0"/>
    <w:rsid w:val="000966A9"/>
    <w:rsid w:val="000B0B67"/>
    <w:rsid w:val="000C0568"/>
    <w:rsid w:val="000C2D80"/>
    <w:rsid w:val="000C76CE"/>
    <w:rsid w:val="000E55E8"/>
    <w:rsid w:val="000E7052"/>
    <w:rsid w:val="000F1700"/>
    <w:rsid w:val="001217A3"/>
    <w:rsid w:val="0013304E"/>
    <w:rsid w:val="001339BA"/>
    <w:rsid w:val="00144884"/>
    <w:rsid w:val="001606FC"/>
    <w:rsid w:val="00177CF5"/>
    <w:rsid w:val="001A380F"/>
    <w:rsid w:val="001A732A"/>
    <w:rsid w:val="001B5972"/>
    <w:rsid w:val="001C3103"/>
    <w:rsid w:val="001D0EFA"/>
    <w:rsid w:val="001D2566"/>
    <w:rsid w:val="001D511E"/>
    <w:rsid w:val="001E0C8B"/>
    <w:rsid w:val="001F2C3C"/>
    <w:rsid w:val="001F733C"/>
    <w:rsid w:val="00214625"/>
    <w:rsid w:val="002151B0"/>
    <w:rsid w:val="00216B30"/>
    <w:rsid w:val="00234EDB"/>
    <w:rsid w:val="0023739F"/>
    <w:rsid w:val="0025006D"/>
    <w:rsid w:val="00263C1C"/>
    <w:rsid w:val="00273EF0"/>
    <w:rsid w:val="0027450B"/>
    <w:rsid w:val="002C313A"/>
    <w:rsid w:val="002D26C0"/>
    <w:rsid w:val="002D4047"/>
    <w:rsid w:val="002D5E96"/>
    <w:rsid w:val="002E4740"/>
    <w:rsid w:val="002F7894"/>
    <w:rsid w:val="00301749"/>
    <w:rsid w:val="003117BB"/>
    <w:rsid w:val="003328B3"/>
    <w:rsid w:val="00334F90"/>
    <w:rsid w:val="00336664"/>
    <w:rsid w:val="00345297"/>
    <w:rsid w:val="003519E6"/>
    <w:rsid w:val="00381FF0"/>
    <w:rsid w:val="0038321C"/>
    <w:rsid w:val="003A021D"/>
    <w:rsid w:val="003A2E6F"/>
    <w:rsid w:val="003B1DD5"/>
    <w:rsid w:val="003B7144"/>
    <w:rsid w:val="003B746F"/>
    <w:rsid w:val="003D2625"/>
    <w:rsid w:val="003E31D2"/>
    <w:rsid w:val="003E59FE"/>
    <w:rsid w:val="003F01D1"/>
    <w:rsid w:val="00407A30"/>
    <w:rsid w:val="00411626"/>
    <w:rsid w:val="00415C8A"/>
    <w:rsid w:val="00422C68"/>
    <w:rsid w:val="00425D80"/>
    <w:rsid w:val="0043576B"/>
    <w:rsid w:val="00436AE6"/>
    <w:rsid w:val="004376F1"/>
    <w:rsid w:val="00454255"/>
    <w:rsid w:val="00465B03"/>
    <w:rsid w:val="00466C6D"/>
    <w:rsid w:val="0046719C"/>
    <w:rsid w:val="0047693B"/>
    <w:rsid w:val="00495691"/>
    <w:rsid w:val="004A1AA9"/>
    <w:rsid w:val="004A4D0D"/>
    <w:rsid w:val="004B543E"/>
    <w:rsid w:val="004D0599"/>
    <w:rsid w:val="004D200B"/>
    <w:rsid w:val="004E5268"/>
    <w:rsid w:val="004F7F1C"/>
    <w:rsid w:val="005322D4"/>
    <w:rsid w:val="0053778C"/>
    <w:rsid w:val="00570912"/>
    <w:rsid w:val="00574D79"/>
    <w:rsid w:val="00586BBD"/>
    <w:rsid w:val="00590795"/>
    <w:rsid w:val="00592D62"/>
    <w:rsid w:val="005B0A30"/>
    <w:rsid w:val="005C0248"/>
    <w:rsid w:val="005D0D48"/>
    <w:rsid w:val="005D1D45"/>
    <w:rsid w:val="005D560C"/>
    <w:rsid w:val="005D6BC6"/>
    <w:rsid w:val="005E3B5E"/>
    <w:rsid w:val="006064F7"/>
    <w:rsid w:val="00623BB8"/>
    <w:rsid w:val="006255B4"/>
    <w:rsid w:val="00640EB7"/>
    <w:rsid w:val="0065521F"/>
    <w:rsid w:val="00664ECE"/>
    <w:rsid w:val="00667F64"/>
    <w:rsid w:val="00674188"/>
    <w:rsid w:val="006921E9"/>
    <w:rsid w:val="00693C33"/>
    <w:rsid w:val="006970F5"/>
    <w:rsid w:val="0069790D"/>
    <w:rsid w:val="006A6CCB"/>
    <w:rsid w:val="006C0EAB"/>
    <w:rsid w:val="006D71E6"/>
    <w:rsid w:val="006E2112"/>
    <w:rsid w:val="006F4632"/>
    <w:rsid w:val="006F6646"/>
    <w:rsid w:val="00701787"/>
    <w:rsid w:val="00714FDA"/>
    <w:rsid w:val="00726E75"/>
    <w:rsid w:val="007301DF"/>
    <w:rsid w:val="00731520"/>
    <w:rsid w:val="00732098"/>
    <w:rsid w:val="00756452"/>
    <w:rsid w:val="00760791"/>
    <w:rsid w:val="00777554"/>
    <w:rsid w:val="0078705D"/>
    <w:rsid w:val="007A08C2"/>
    <w:rsid w:val="007A19E7"/>
    <w:rsid w:val="007A37C5"/>
    <w:rsid w:val="007A6D84"/>
    <w:rsid w:val="007B6FA3"/>
    <w:rsid w:val="007E1CA5"/>
    <w:rsid w:val="007E3571"/>
    <w:rsid w:val="007F78C3"/>
    <w:rsid w:val="00802505"/>
    <w:rsid w:val="008076E6"/>
    <w:rsid w:val="00822007"/>
    <w:rsid w:val="00834498"/>
    <w:rsid w:val="008417B0"/>
    <w:rsid w:val="008432E1"/>
    <w:rsid w:val="00851E61"/>
    <w:rsid w:val="008727D5"/>
    <w:rsid w:val="00874B48"/>
    <w:rsid w:val="008915FF"/>
    <w:rsid w:val="00892C78"/>
    <w:rsid w:val="008949C1"/>
    <w:rsid w:val="008B6746"/>
    <w:rsid w:val="008B7E84"/>
    <w:rsid w:val="008C36D2"/>
    <w:rsid w:val="008E2956"/>
    <w:rsid w:val="008F1674"/>
    <w:rsid w:val="008F3D93"/>
    <w:rsid w:val="009315D0"/>
    <w:rsid w:val="00946A19"/>
    <w:rsid w:val="00964A88"/>
    <w:rsid w:val="009933C0"/>
    <w:rsid w:val="009B2303"/>
    <w:rsid w:val="009B641E"/>
    <w:rsid w:val="009B7BD4"/>
    <w:rsid w:val="009C15C7"/>
    <w:rsid w:val="009C23FE"/>
    <w:rsid w:val="009C2B25"/>
    <w:rsid w:val="009D0A7E"/>
    <w:rsid w:val="00A23E0D"/>
    <w:rsid w:val="00A3089C"/>
    <w:rsid w:val="00A45FFE"/>
    <w:rsid w:val="00A55951"/>
    <w:rsid w:val="00A62DF2"/>
    <w:rsid w:val="00A71481"/>
    <w:rsid w:val="00A813C0"/>
    <w:rsid w:val="00A95551"/>
    <w:rsid w:val="00AA6F53"/>
    <w:rsid w:val="00AC5A99"/>
    <w:rsid w:val="00AD52C5"/>
    <w:rsid w:val="00AD750A"/>
    <w:rsid w:val="00AF68D6"/>
    <w:rsid w:val="00B1315D"/>
    <w:rsid w:val="00B14FBE"/>
    <w:rsid w:val="00B219D3"/>
    <w:rsid w:val="00B24EFA"/>
    <w:rsid w:val="00B30DE6"/>
    <w:rsid w:val="00B419BA"/>
    <w:rsid w:val="00B52BE1"/>
    <w:rsid w:val="00B54440"/>
    <w:rsid w:val="00B671D4"/>
    <w:rsid w:val="00B8196F"/>
    <w:rsid w:val="00B86638"/>
    <w:rsid w:val="00B95C18"/>
    <w:rsid w:val="00BC21F6"/>
    <w:rsid w:val="00BC6D22"/>
    <w:rsid w:val="00BD290E"/>
    <w:rsid w:val="00BD37C5"/>
    <w:rsid w:val="00BD4F12"/>
    <w:rsid w:val="00BD77A4"/>
    <w:rsid w:val="00BE38F9"/>
    <w:rsid w:val="00C13ADE"/>
    <w:rsid w:val="00C209AA"/>
    <w:rsid w:val="00C21BD8"/>
    <w:rsid w:val="00C224B8"/>
    <w:rsid w:val="00C31EAF"/>
    <w:rsid w:val="00C55951"/>
    <w:rsid w:val="00C62668"/>
    <w:rsid w:val="00C647E0"/>
    <w:rsid w:val="00C9390A"/>
    <w:rsid w:val="00C95F6A"/>
    <w:rsid w:val="00CB2C41"/>
    <w:rsid w:val="00CB4D2D"/>
    <w:rsid w:val="00CD6AEF"/>
    <w:rsid w:val="00D2584D"/>
    <w:rsid w:val="00D26609"/>
    <w:rsid w:val="00D3286E"/>
    <w:rsid w:val="00D44DA6"/>
    <w:rsid w:val="00D531E4"/>
    <w:rsid w:val="00D56716"/>
    <w:rsid w:val="00D57B5D"/>
    <w:rsid w:val="00D57EFE"/>
    <w:rsid w:val="00D70E9A"/>
    <w:rsid w:val="00D834F6"/>
    <w:rsid w:val="00D8657A"/>
    <w:rsid w:val="00DA13BD"/>
    <w:rsid w:val="00DB5B7A"/>
    <w:rsid w:val="00DB740D"/>
    <w:rsid w:val="00DC520F"/>
    <w:rsid w:val="00DF1537"/>
    <w:rsid w:val="00DF4880"/>
    <w:rsid w:val="00DF6675"/>
    <w:rsid w:val="00E07701"/>
    <w:rsid w:val="00E11D51"/>
    <w:rsid w:val="00E23365"/>
    <w:rsid w:val="00E31C33"/>
    <w:rsid w:val="00E447B1"/>
    <w:rsid w:val="00E45F23"/>
    <w:rsid w:val="00E63370"/>
    <w:rsid w:val="00E63D2B"/>
    <w:rsid w:val="00E87E87"/>
    <w:rsid w:val="00E92AD0"/>
    <w:rsid w:val="00EB0FAE"/>
    <w:rsid w:val="00EB2392"/>
    <w:rsid w:val="00ED108B"/>
    <w:rsid w:val="00ED1ED8"/>
    <w:rsid w:val="00EE355E"/>
    <w:rsid w:val="00EE6677"/>
    <w:rsid w:val="00F27698"/>
    <w:rsid w:val="00F37424"/>
    <w:rsid w:val="00F42700"/>
    <w:rsid w:val="00F458E0"/>
    <w:rsid w:val="00F46385"/>
    <w:rsid w:val="00F65288"/>
    <w:rsid w:val="00F65CA1"/>
    <w:rsid w:val="00F67CA7"/>
    <w:rsid w:val="00F711A1"/>
    <w:rsid w:val="00F8423C"/>
    <w:rsid w:val="00FA1B53"/>
    <w:rsid w:val="00FA6802"/>
    <w:rsid w:val="00FB0797"/>
    <w:rsid w:val="00FB4B5B"/>
    <w:rsid w:val="00FD60DC"/>
    <w:rsid w:val="00FD6E6B"/>
    <w:rsid w:val="00FE1CEA"/>
    <w:rsid w:val="00FF6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3E392"/>
  <w15:docId w15:val="{460B7711-5BC7-4717-9D69-572108D3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3FE"/>
  </w:style>
  <w:style w:type="paragraph" w:styleId="Heading2">
    <w:name w:val="heading 2"/>
    <w:basedOn w:val="Normal"/>
    <w:next w:val="Normal"/>
    <w:link w:val="Heading2Char"/>
    <w:uiPriority w:val="9"/>
    <w:semiHidden/>
    <w:unhideWhenUsed/>
    <w:qFormat/>
    <w:rsid w:val="00C62668"/>
    <w:pPr>
      <w:keepNext/>
      <w:keepLines/>
      <w:spacing w:before="40" w:after="0"/>
      <w:outlineLvl w:val="1"/>
    </w:pPr>
    <w:rPr>
      <w:rFonts w:asciiTheme="majorHAnsi" w:eastAsiaTheme="majorEastAsia" w:hAnsiTheme="majorHAnsi" w:cstheme="majorBidi"/>
      <w:color w:val="31479E" w:themeColor="accent1" w:themeShade="BF"/>
      <w:sz w:val="26"/>
      <w:szCs w:val="26"/>
    </w:rPr>
  </w:style>
  <w:style w:type="paragraph" w:styleId="Heading3">
    <w:name w:val="heading 3"/>
    <w:basedOn w:val="Normal"/>
    <w:next w:val="Normal"/>
    <w:link w:val="Heading3Char"/>
    <w:uiPriority w:val="9"/>
    <w:semiHidden/>
    <w:unhideWhenUsed/>
    <w:qFormat/>
    <w:rsid w:val="00C62668"/>
    <w:pPr>
      <w:keepNext/>
      <w:keepLines/>
      <w:spacing w:before="40" w:after="0"/>
      <w:outlineLvl w:val="2"/>
    </w:pPr>
    <w:rPr>
      <w:rFonts w:asciiTheme="majorHAnsi" w:eastAsiaTheme="majorEastAsia" w:hAnsiTheme="majorHAnsi" w:cstheme="majorBidi"/>
      <w:color w:val="202F69" w:themeColor="accent1" w:themeShade="7F"/>
      <w:sz w:val="24"/>
      <w:szCs w:val="24"/>
    </w:rPr>
  </w:style>
  <w:style w:type="paragraph" w:styleId="Heading6">
    <w:name w:val="heading 6"/>
    <w:basedOn w:val="Normal"/>
    <w:next w:val="Normal"/>
    <w:link w:val="Heading6Char"/>
    <w:qFormat/>
    <w:rsid w:val="00590795"/>
    <w:pPr>
      <w:keepNext/>
      <w:tabs>
        <w:tab w:val="left" w:pos="-720"/>
        <w:tab w:val="left" w:pos="709"/>
      </w:tabs>
      <w:suppressAutoHyphens/>
      <w:spacing w:after="0" w:line="240" w:lineRule="auto"/>
      <w:ind w:left="2880" w:hanging="2880"/>
      <w:jc w:val="both"/>
      <w:outlineLvl w:val="5"/>
    </w:pPr>
    <w:rPr>
      <w:rFonts w:ascii="Times New Roman" w:eastAsia="Times New Roman" w:hAnsi="Times New Roman" w:cs="Times New Roman"/>
      <w:b/>
      <w:spacing w:val="-2"/>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638"/>
    <w:pPr>
      <w:ind w:left="720"/>
      <w:contextualSpacing/>
    </w:pPr>
  </w:style>
  <w:style w:type="paragraph" w:styleId="Header">
    <w:name w:val="header"/>
    <w:basedOn w:val="Normal"/>
    <w:link w:val="HeaderChar"/>
    <w:uiPriority w:val="99"/>
    <w:unhideWhenUsed/>
    <w:rsid w:val="000F1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00"/>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paragraph" w:styleId="PlainText">
    <w:name w:val="Plain Text"/>
    <w:basedOn w:val="Normal"/>
    <w:link w:val="PlainTextChar"/>
    <w:uiPriority w:val="99"/>
    <w:semiHidden/>
    <w:unhideWhenUsed/>
    <w:rsid w:val="002F789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F7894"/>
    <w:rPr>
      <w:rFonts w:ascii="Calibri" w:hAnsi="Calibri" w:cs="Consolas"/>
      <w:szCs w:val="21"/>
    </w:rPr>
  </w:style>
  <w:style w:type="character" w:styleId="Hyperlink">
    <w:name w:val="Hyperlink"/>
    <w:basedOn w:val="DefaultParagraphFont"/>
    <w:uiPriority w:val="99"/>
    <w:unhideWhenUsed/>
    <w:rsid w:val="005322D4"/>
    <w:rPr>
      <w:color w:val="0000FF"/>
      <w:u w:val="single"/>
    </w:rPr>
  </w:style>
  <w:style w:type="character" w:styleId="Strong">
    <w:name w:val="Strong"/>
    <w:basedOn w:val="DefaultParagraphFont"/>
    <w:uiPriority w:val="22"/>
    <w:qFormat/>
    <w:rsid w:val="005322D4"/>
    <w:rPr>
      <w:b/>
      <w:bCs/>
    </w:rPr>
  </w:style>
  <w:style w:type="table" w:styleId="TableGrid">
    <w:name w:val="Table Grid"/>
    <w:basedOn w:val="TableNormal"/>
    <w:uiPriority w:val="59"/>
    <w:rsid w:val="00407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19E7"/>
    <w:rPr>
      <w:sz w:val="16"/>
      <w:szCs w:val="16"/>
    </w:rPr>
  </w:style>
  <w:style w:type="paragraph" w:styleId="CommentText">
    <w:name w:val="annotation text"/>
    <w:basedOn w:val="Normal"/>
    <w:link w:val="CommentTextChar"/>
    <w:uiPriority w:val="99"/>
    <w:semiHidden/>
    <w:unhideWhenUsed/>
    <w:rsid w:val="007A19E7"/>
    <w:pPr>
      <w:spacing w:line="240" w:lineRule="auto"/>
    </w:pPr>
    <w:rPr>
      <w:sz w:val="20"/>
      <w:szCs w:val="20"/>
    </w:rPr>
  </w:style>
  <w:style w:type="character" w:customStyle="1" w:styleId="CommentTextChar">
    <w:name w:val="Comment Text Char"/>
    <w:basedOn w:val="DefaultParagraphFont"/>
    <w:link w:val="CommentText"/>
    <w:uiPriority w:val="99"/>
    <w:semiHidden/>
    <w:rsid w:val="007A19E7"/>
    <w:rPr>
      <w:sz w:val="20"/>
      <w:szCs w:val="20"/>
    </w:rPr>
  </w:style>
  <w:style w:type="paragraph" w:styleId="CommentSubject">
    <w:name w:val="annotation subject"/>
    <w:basedOn w:val="CommentText"/>
    <w:next w:val="CommentText"/>
    <w:link w:val="CommentSubjectChar"/>
    <w:uiPriority w:val="99"/>
    <w:semiHidden/>
    <w:unhideWhenUsed/>
    <w:rsid w:val="007A19E7"/>
    <w:rPr>
      <w:b/>
      <w:bCs/>
    </w:rPr>
  </w:style>
  <w:style w:type="character" w:customStyle="1" w:styleId="CommentSubjectChar">
    <w:name w:val="Comment Subject Char"/>
    <w:basedOn w:val="CommentTextChar"/>
    <w:link w:val="CommentSubject"/>
    <w:uiPriority w:val="99"/>
    <w:semiHidden/>
    <w:rsid w:val="007A19E7"/>
    <w:rPr>
      <w:b/>
      <w:bCs/>
      <w:sz w:val="20"/>
      <w:szCs w:val="20"/>
    </w:rPr>
  </w:style>
  <w:style w:type="paragraph" w:customStyle="1" w:styleId="Default">
    <w:name w:val="Default"/>
    <w:rsid w:val="00037AC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26E75"/>
    <w:pPr>
      <w:spacing w:after="0" w:line="240" w:lineRule="auto"/>
    </w:pPr>
    <w:rPr>
      <w:rFonts w:ascii="Times New Roman" w:eastAsia="Calibri" w:hAnsi="Times New Roman" w:cs="Times New Roman"/>
      <w:sz w:val="24"/>
      <w:szCs w:val="24"/>
      <w:lang w:eastAsia="en-GB"/>
    </w:rPr>
  </w:style>
  <w:style w:type="character" w:customStyle="1" w:styleId="Heading6Char">
    <w:name w:val="Heading 6 Char"/>
    <w:basedOn w:val="DefaultParagraphFont"/>
    <w:link w:val="Heading6"/>
    <w:rsid w:val="00590795"/>
    <w:rPr>
      <w:rFonts w:ascii="Times New Roman" w:eastAsia="Times New Roman" w:hAnsi="Times New Roman" w:cs="Times New Roman"/>
      <w:b/>
      <w:spacing w:val="-2"/>
      <w:sz w:val="24"/>
      <w:szCs w:val="20"/>
      <w:lang w:val="en-US" w:eastAsia="en-GB"/>
    </w:rPr>
  </w:style>
  <w:style w:type="character" w:styleId="PageNumber">
    <w:name w:val="page number"/>
    <w:basedOn w:val="DefaultParagraphFont"/>
    <w:rsid w:val="00590795"/>
  </w:style>
  <w:style w:type="character" w:customStyle="1" w:styleId="Heading2Char">
    <w:name w:val="Heading 2 Char"/>
    <w:basedOn w:val="DefaultParagraphFont"/>
    <w:link w:val="Heading2"/>
    <w:uiPriority w:val="9"/>
    <w:semiHidden/>
    <w:rsid w:val="00C62668"/>
    <w:rPr>
      <w:rFonts w:asciiTheme="majorHAnsi" w:eastAsiaTheme="majorEastAsia" w:hAnsiTheme="majorHAnsi" w:cstheme="majorBidi"/>
      <w:color w:val="31479E" w:themeColor="accent1" w:themeShade="BF"/>
      <w:sz w:val="26"/>
      <w:szCs w:val="26"/>
    </w:rPr>
  </w:style>
  <w:style w:type="character" w:customStyle="1" w:styleId="Heading3Char">
    <w:name w:val="Heading 3 Char"/>
    <w:basedOn w:val="DefaultParagraphFont"/>
    <w:link w:val="Heading3"/>
    <w:uiPriority w:val="9"/>
    <w:semiHidden/>
    <w:rsid w:val="00C62668"/>
    <w:rPr>
      <w:rFonts w:asciiTheme="majorHAnsi" w:eastAsiaTheme="majorEastAsia" w:hAnsiTheme="majorHAnsi" w:cstheme="majorBidi"/>
      <w:color w:val="202F69" w:themeColor="accent1" w:themeShade="7F"/>
      <w:sz w:val="24"/>
      <w:szCs w:val="24"/>
    </w:rPr>
  </w:style>
  <w:style w:type="table" w:styleId="LightList-Accent1">
    <w:name w:val="Light List Accent 1"/>
    <w:basedOn w:val="TableNormal"/>
    <w:uiPriority w:val="61"/>
    <w:rsid w:val="00C62668"/>
    <w:pPr>
      <w:spacing w:after="0" w:line="240" w:lineRule="auto"/>
    </w:p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pPr>
        <w:spacing w:before="0" w:after="0" w:line="240" w:lineRule="auto"/>
      </w:pPr>
      <w:rPr>
        <w:b/>
        <w:bCs/>
        <w:color w:val="FFFFFF" w:themeColor="background1"/>
      </w:rPr>
      <w:tblPr/>
      <w:tcPr>
        <w:shd w:val="clear" w:color="auto" w:fill="4E67C8" w:themeFill="accent1"/>
      </w:tcPr>
    </w:tblStylePr>
    <w:tblStylePr w:type="lastRow">
      <w:pPr>
        <w:spacing w:before="0" w:after="0" w:line="240" w:lineRule="auto"/>
      </w:pPr>
      <w:rPr>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tcBorders>
      </w:tcPr>
    </w:tblStylePr>
    <w:tblStylePr w:type="firstCol">
      <w:rPr>
        <w:b/>
        <w:bCs/>
      </w:rPr>
    </w:tblStylePr>
    <w:tblStylePr w:type="lastCol">
      <w:rPr>
        <w:b/>
        <w:bCs/>
      </w:r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style>
  <w:style w:type="paragraph" w:styleId="FootnoteText">
    <w:name w:val="footnote text"/>
    <w:basedOn w:val="Normal"/>
    <w:link w:val="FootnoteTextChar"/>
    <w:rsid w:val="004A4D0D"/>
    <w:rPr>
      <w:rFonts w:ascii="Calibri" w:eastAsia="Calibri" w:hAnsi="Calibri" w:cs="Times New Roman"/>
      <w:sz w:val="20"/>
      <w:szCs w:val="20"/>
    </w:rPr>
  </w:style>
  <w:style w:type="character" w:customStyle="1" w:styleId="FootnoteTextChar">
    <w:name w:val="Footnote Text Char"/>
    <w:basedOn w:val="DefaultParagraphFont"/>
    <w:link w:val="FootnoteText"/>
    <w:rsid w:val="004A4D0D"/>
    <w:rPr>
      <w:rFonts w:ascii="Calibri" w:eastAsia="Calibri" w:hAnsi="Calibri" w:cs="Times New Roman"/>
      <w:sz w:val="20"/>
      <w:szCs w:val="20"/>
    </w:rPr>
  </w:style>
  <w:style w:type="character" w:styleId="FootnoteReference">
    <w:name w:val="footnote reference"/>
    <w:rsid w:val="004A4D0D"/>
    <w:rPr>
      <w:vertAlign w:val="superscript"/>
    </w:rPr>
  </w:style>
  <w:style w:type="character" w:styleId="Emphasis">
    <w:name w:val="Emphasis"/>
    <w:basedOn w:val="DefaultParagraphFont"/>
    <w:uiPriority w:val="20"/>
    <w:qFormat/>
    <w:rsid w:val="00DF4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502">
      <w:bodyDiv w:val="1"/>
      <w:marLeft w:val="0"/>
      <w:marRight w:val="0"/>
      <w:marTop w:val="0"/>
      <w:marBottom w:val="0"/>
      <w:divBdr>
        <w:top w:val="none" w:sz="0" w:space="0" w:color="auto"/>
        <w:left w:val="none" w:sz="0" w:space="0" w:color="auto"/>
        <w:bottom w:val="none" w:sz="0" w:space="0" w:color="auto"/>
        <w:right w:val="none" w:sz="0" w:space="0" w:color="auto"/>
      </w:divBdr>
    </w:div>
    <w:div w:id="5056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rategy2030.gcu.ac.uk/" TargetMode="External"/><Relationship Id="rId18" Type="http://schemas.openxmlformats.org/officeDocument/2006/relationships/hyperlink" Target="https://www.gcu.ac.uk/aboutgcu/supportservices/governance/complaintsstudentconduct" TargetMode="External"/><Relationship Id="rId26" Type="http://schemas.openxmlformats.org/officeDocument/2006/relationships/hyperlink" Target="https://www.ecctis.com/" TargetMode="External"/><Relationship Id="rId3" Type="http://schemas.openxmlformats.org/officeDocument/2006/relationships/customXml" Target="../customXml/item3.xml"/><Relationship Id="rId21" Type="http://schemas.openxmlformats.org/officeDocument/2006/relationships/hyperlink" Target="https://discoveruni.gov.uk/course-finder/resul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cu.ac.uk/student/regulations/gcustudenttermsandconditions/" TargetMode="External"/><Relationship Id="rId25" Type="http://schemas.openxmlformats.org/officeDocument/2006/relationships/hyperlink" Target="https://www.gov.uk/government/organisations/uk-visas-and-immigration" TargetMode="External"/><Relationship Id="rId2" Type="http://schemas.openxmlformats.org/officeDocument/2006/relationships/customXml" Target="../customXml/item2.xml"/><Relationship Id="rId16" Type="http://schemas.openxmlformats.org/officeDocument/2006/relationships/hyperlink" Target="http://www.gcu.ac.uk/gaq/appealscomplaintsstudentconductdiscipline/complaints/" TargetMode="External"/><Relationship Id="rId20" Type="http://schemas.openxmlformats.org/officeDocument/2006/relationships/hyperlink" Target="https://www.gcu.ac.uk/aboutgcu/commongood/commongoodcurriculu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cqf.org.uk/" TargetMode="External"/><Relationship Id="rId5" Type="http://schemas.openxmlformats.org/officeDocument/2006/relationships/customXml" Target="../customXml/item5.xml"/><Relationship Id="rId15" Type="http://schemas.openxmlformats.org/officeDocument/2006/relationships/hyperlink" Target="https://www.gcu.ac.uk/aboutgcu/supportservices/qualityassuranceandenhancement/regulationsandpolicies/recognitionofpriorlearningrplatgcu" TargetMode="External"/><Relationship Id="rId23" Type="http://schemas.openxmlformats.org/officeDocument/2006/relationships/hyperlink" Target="https://dera.ioe.ac.uk/5284/1/finalreport.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gcu.ac.uk/study/collegeconne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cu.ac.uk/aboutgcu/commongood/equality" TargetMode="External"/><Relationship Id="rId22" Type="http://schemas.openxmlformats.org/officeDocument/2006/relationships/hyperlink" Target="https://www.qaa.ac.uk/quality-code" TargetMode="External"/><Relationship Id="rId27" Type="http://schemas.openxmlformats.org/officeDocument/2006/relationships/hyperlink" Target="https://www.gov.uk/government/uploads/system/uploads/attachment_data/file/428549/HE_providers_-_advice_on_consumer_protection_law.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2019-06-11T00:00:00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C5E7AED75B1479F8269C91B8A81EE" ma:contentTypeVersion="0" ma:contentTypeDescription="Create a new document." ma:contentTypeScope="" ma:versionID="9d16ec699c2843a05e8a905dc9c526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E3CB4-2FB6-4E4F-A362-E1C58D4C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A7C3641-907D-46B2-BA23-C4F994483CB4}">
  <ds:schemaRefs>
    <ds:schemaRef ds:uri="http://schemas.microsoft.com/sharepoint/v3/contenttype/forms"/>
  </ds:schemaRefs>
</ds:datastoreItem>
</file>

<file path=customXml/itemProps4.xml><?xml version="1.0" encoding="utf-8"?>
<ds:datastoreItem xmlns:ds="http://schemas.openxmlformats.org/officeDocument/2006/customXml" ds:itemID="{B94F3C05-FC0A-43F7-884B-736F85482838}">
  <ds:schemaRefs>
    <ds:schemaRef ds:uri="http://schemas.microsoft.com/office/2006/metadata/properties"/>
  </ds:schemaRefs>
</ds:datastoreItem>
</file>

<file path=customXml/itemProps5.xml><?xml version="1.0" encoding="utf-8"?>
<ds:datastoreItem xmlns:ds="http://schemas.openxmlformats.org/officeDocument/2006/customXml" ds:itemID="{164B5E8A-2CEE-40DE-9964-CDBE195B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Ford, Gordon</cp:lastModifiedBy>
  <cp:revision>2</cp:revision>
  <cp:lastPrinted>2019-08-26T17:23:00Z</cp:lastPrinted>
  <dcterms:created xsi:type="dcterms:W3CDTF">2022-10-28T04:38:00Z</dcterms:created>
  <dcterms:modified xsi:type="dcterms:W3CDTF">2022-10-28T04:38:00Z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0x010100EB1C5E7AED75B1479F8269C91B8A81EE</vt:lpwstr>
  </property>
</Properties>
</file>