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36" w:rsidRPr="00383856" w:rsidRDefault="00AA0136" w:rsidP="00AA0136">
      <w:pPr>
        <w:spacing w:after="200" w:line="276" w:lineRule="auto"/>
        <w:contextualSpacing/>
        <w:rPr>
          <w:rFonts w:ascii="Calibri" w:eastAsia="Calibri" w:hAnsi="Calibri" w:cs="Times New Roman"/>
          <w:b/>
          <w:sz w:val="24"/>
          <w:szCs w:val="24"/>
        </w:rPr>
      </w:pPr>
      <w:r w:rsidRPr="00383856">
        <w:rPr>
          <w:rFonts w:ascii="Calibri" w:eastAsia="Calibri" w:hAnsi="Calibri" w:cs="Times New Roman"/>
          <w:b/>
          <w:sz w:val="24"/>
          <w:szCs w:val="24"/>
        </w:rPr>
        <w:t>GLASGOW CALEDONIAN UNIVERSITY</w:t>
      </w:r>
    </w:p>
    <w:p w:rsidR="00AA0136" w:rsidRPr="00383856" w:rsidRDefault="00AA0136" w:rsidP="00AA0136">
      <w:pPr>
        <w:spacing w:after="200" w:line="276" w:lineRule="auto"/>
        <w:contextualSpacing/>
        <w:rPr>
          <w:rFonts w:ascii="Calibri" w:eastAsia="Calibri" w:hAnsi="Calibri" w:cs="Times New Roman"/>
          <w:b/>
          <w:sz w:val="24"/>
          <w:szCs w:val="24"/>
        </w:rPr>
      </w:pPr>
      <w:r w:rsidRPr="00383856">
        <w:rPr>
          <w:rFonts w:ascii="Calibri" w:eastAsia="Calibri" w:hAnsi="Calibri" w:cs="Times New Roman"/>
          <w:b/>
          <w:sz w:val="24"/>
          <w:szCs w:val="24"/>
        </w:rPr>
        <w:t>TO: UNIVERSITY COURT</w:t>
      </w:r>
    </w:p>
    <w:p w:rsidR="00AA0136" w:rsidRPr="00383856" w:rsidRDefault="00AA0136" w:rsidP="00AA0136">
      <w:pPr>
        <w:spacing w:after="200" w:line="276" w:lineRule="auto"/>
        <w:contextualSpacing/>
        <w:rPr>
          <w:rFonts w:ascii="Calibri" w:eastAsia="Calibri" w:hAnsi="Calibri" w:cs="Times New Roman"/>
          <w:b/>
          <w:sz w:val="24"/>
          <w:szCs w:val="24"/>
        </w:rPr>
      </w:pPr>
    </w:p>
    <w:p w:rsidR="00AA0136" w:rsidRPr="00383856" w:rsidRDefault="00AA0136" w:rsidP="00AA0136">
      <w:pPr>
        <w:spacing w:after="200" w:line="276" w:lineRule="auto"/>
        <w:contextualSpacing/>
        <w:rPr>
          <w:rFonts w:ascii="Calibri" w:eastAsia="Calibri" w:hAnsi="Calibri" w:cs="Times New Roman"/>
          <w:b/>
          <w:sz w:val="24"/>
          <w:szCs w:val="24"/>
          <w:u w:val="single"/>
        </w:rPr>
      </w:pPr>
      <w:r w:rsidRPr="00383856">
        <w:rPr>
          <w:rFonts w:ascii="Calibri" w:eastAsia="Calibri" w:hAnsi="Calibri" w:cs="Times New Roman"/>
          <w:b/>
          <w:sz w:val="24"/>
          <w:szCs w:val="24"/>
          <w:u w:val="single"/>
        </w:rPr>
        <w:t xml:space="preserve">Report from the meeting of Senate held on </w:t>
      </w:r>
      <w:r>
        <w:rPr>
          <w:rFonts w:ascii="Calibri" w:eastAsia="Calibri" w:hAnsi="Calibri" w:cs="Times New Roman"/>
          <w:b/>
          <w:sz w:val="24"/>
          <w:szCs w:val="24"/>
          <w:u w:val="single"/>
        </w:rPr>
        <w:t>1</w:t>
      </w:r>
      <w:r w:rsidRPr="00AD06C1">
        <w:rPr>
          <w:rFonts w:ascii="Calibri" w:eastAsia="Calibri" w:hAnsi="Calibri" w:cs="Times New Roman"/>
          <w:b/>
          <w:sz w:val="24"/>
          <w:szCs w:val="24"/>
          <w:u w:val="single"/>
          <w:vertAlign w:val="superscript"/>
        </w:rPr>
        <w:t>st</w:t>
      </w:r>
      <w:r>
        <w:rPr>
          <w:rFonts w:ascii="Calibri" w:eastAsia="Calibri" w:hAnsi="Calibri" w:cs="Times New Roman"/>
          <w:b/>
          <w:sz w:val="24"/>
          <w:szCs w:val="24"/>
          <w:u w:val="single"/>
        </w:rPr>
        <w:t xml:space="preserve"> June 2018</w:t>
      </w:r>
    </w:p>
    <w:p w:rsidR="00AA0136" w:rsidRPr="00383856" w:rsidRDefault="00AA0136" w:rsidP="00AA0136">
      <w:pPr>
        <w:spacing w:after="200" w:line="276" w:lineRule="auto"/>
        <w:contextualSpacing/>
        <w:jc w:val="both"/>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1</w:t>
            </w:r>
            <w:r w:rsidRPr="00383856">
              <w:rPr>
                <w:rFonts w:ascii="Calibri" w:eastAsia="Calibri" w:hAnsi="Calibri" w:cs="Times New Roman"/>
                <w:b/>
              </w:rPr>
              <w:t>.</w:t>
            </w:r>
          </w:p>
        </w:tc>
        <w:tc>
          <w:tcPr>
            <w:tcW w:w="8708" w:type="dxa"/>
          </w:tcPr>
          <w:p w:rsidR="00AA0136" w:rsidRDefault="00AA0136" w:rsidP="00AA0136">
            <w:pPr>
              <w:contextualSpacing/>
              <w:jc w:val="both"/>
              <w:rPr>
                <w:rFonts w:ascii="Calibri" w:eastAsia="Calibri" w:hAnsi="Calibri" w:cs="Times New Roman"/>
                <w:b/>
              </w:rPr>
            </w:pPr>
            <w:r w:rsidRPr="008A263C">
              <w:rPr>
                <w:rFonts w:ascii="Calibri" w:eastAsia="Calibri" w:hAnsi="Calibri" w:cs="Times New Roman"/>
                <w:b/>
              </w:rPr>
              <w:t>Principal &amp; Vice Chancellor and Executive Board Report</w:t>
            </w:r>
          </w:p>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8A263C" w:rsidRDefault="00AA0136" w:rsidP="00AA0136">
            <w:pPr>
              <w:contextualSpacing/>
              <w:jc w:val="both"/>
              <w:rPr>
                <w:rFonts w:ascii="Calibri" w:eastAsia="Calibri" w:hAnsi="Calibri" w:cs="Times New Roman"/>
              </w:rPr>
            </w:pPr>
            <w:r w:rsidRPr="008A263C">
              <w:rPr>
                <w:rFonts w:ascii="Calibri" w:eastAsia="Calibri" w:hAnsi="Calibri" w:cs="Times New Roman"/>
              </w:rPr>
              <w:t>Senate received a report from the Principal and Vice Chancellor and Executive Board to update members on substantive items considered by the Executive Board since the last meeting of Senate.  Executive Board updates are available to GCU staff on Caledonian Connected.</w:t>
            </w:r>
          </w:p>
          <w:p w:rsidR="00AA0136" w:rsidRPr="008A263C" w:rsidRDefault="00AA0136" w:rsidP="00AA0136">
            <w:pPr>
              <w:contextualSpacing/>
              <w:jc w:val="both"/>
              <w:rPr>
                <w:rFonts w:ascii="Calibri" w:eastAsia="Calibri" w:hAnsi="Calibri" w:cs="Times New Roman"/>
              </w:rPr>
            </w:pPr>
          </w:p>
          <w:p w:rsidR="00AA0136" w:rsidRPr="008A263C" w:rsidRDefault="00AA0136" w:rsidP="00AA0136">
            <w:pPr>
              <w:contextualSpacing/>
              <w:jc w:val="both"/>
              <w:rPr>
                <w:rFonts w:ascii="Calibri" w:eastAsia="Calibri" w:hAnsi="Calibri" w:cs="Times New Roman"/>
              </w:rPr>
            </w:pPr>
            <w:r w:rsidRPr="008A263C">
              <w:rPr>
                <w:rFonts w:ascii="Calibri" w:eastAsia="Calibri" w:hAnsi="Calibri" w:cs="Times New Roman"/>
              </w:rPr>
              <w:t xml:space="preserve">Additionally, Senate </w:t>
            </w:r>
            <w:r>
              <w:rPr>
                <w:rFonts w:ascii="Calibri" w:eastAsia="Calibri" w:hAnsi="Calibri" w:cs="Times New Roman"/>
              </w:rPr>
              <w:t xml:space="preserve">noted that </w:t>
            </w:r>
          </w:p>
          <w:p w:rsidR="00AA0136" w:rsidRPr="00F0684F" w:rsidRDefault="00AA0136" w:rsidP="00AA0136">
            <w:pPr>
              <w:pStyle w:val="ListParagraph"/>
              <w:numPr>
                <w:ilvl w:val="0"/>
                <w:numId w:val="3"/>
              </w:numPr>
              <w:contextualSpacing/>
              <w:jc w:val="both"/>
              <w:rPr>
                <w:rFonts w:cs="Times New Roman"/>
              </w:rPr>
            </w:pPr>
            <w:r w:rsidRPr="00C03F19">
              <w:rPr>
                <w:rFonts w:cs="Times New Roman"/>
              </w:rPr>
              <w:t>The most recent Destination of Leavers Survey results showed that 74% of GCU graduates were in graduate level employment.  There had been consistent growth from 57% in 2011, and was a source of great encouragement to students and an indication of the hard work and commitment shown by staff and students</w:t>
            </w:r>
            <w:r w:rsidRPr="00F0684F">
              <w:rPr>
                <w:rFonts w:cs="Times New Roman"/>
              </w:rPr>
              <w:t xml:space="preserve"> </w:t>
            </w:r>
          </w:p>
          <w:p w:rsidR="00AA0136" w:rsidRDefault="00AA0136" w:rsidP="00AA0136">
            <w:pPr>
              <w:pStyle w:val="ListParagraph"/>
              <w:numPr>
                <w:ilvl w:val="0"/>
                <w:numId w:val="3"/>
              </w:numPr>
              <w:contextualSpacing/>
              <w:jc w:val="both"/>
              <w:rPr>
                <w:rFonts w:cs="Times New Roman"/>
              </w:rPr>
            </w:pPr>
            <w:r w:rsidRPr="00C03F19">
              <w:rPr>
                <w:rFonts w:cs="Times New Roman"/>
              </w:rPr>
              <w:t>The SFC had recently published widening access statistics for 2016-17.  The University continued to perform strongly and contribute significantly to widening access compared to most other universities and against the sector average. At 20.9% GCU had the second highest MD20 recruitment rate amongst universities and third highest recruitment rate amongst HEIs, and was notably higher than the sector average.  With respect to retention rates for MD20 students, again the University performed well at 4th overall with a rate of 92.4% against a sector average of 87.4%.  This was very encouraging given the significant number of students, approximately 630, the University had within this category and the relatively small numbers in the other high performing HEIs.</w:t>
            </w:r>
          </w:p>
          <w:p w:rsidR="00AA0136" w:rsidRPr="000F079F" w:rsidRDefault="00AA0136" w:rsidP="00AA0136">
            <w:pPr>
              <w:pStyle w:val="ListParagraph"/>
              <w:numPr>
                <w:ilvl w:val="0"/>
                <w:numId w:val="3"/>
              </w:numPr>
              <w:contextualSpacing/>
              <w:jc w:val="both"/>
              <w:rPr>
                <w:rFonts w:cs="Times New Roman"/>
              </w:rPr>
            </w:pPr>
            <w:r>
              <w:rPr>
                <w:rFonts w:cs="Times New Roman"/>
              </w:rPr>
              <w:t>T</w:t>
            </w:r>
            <w:r w:rsidRPr="00C03F19">
              <w:rPr>
                <w:rFonts w:cs="Times New Roman"/>
              </w:rPr>
              <w:t>he Minister for Further Education, Higher Education and Science</w:t>
            </w:r>
            <w:r>
              <w:rPr>
                <w:rFonts w:cs="Times New Roman"/>
              </w:rPr>
              <w:t xml:space="preserve"> had responded to the University’s letter about t</w:t>
            </w:r>
            <w:r w:rsidRPr="00C03F19">
              <w:rPr>
                <w:rFonts w:cs="Times New Roman"/>
              </w:rPr>
              <w:t xml:space="preserve">he University becoming a provider of teacher education </w:t>
            </w:r>
            <w:r>
              <w:rPr>
                <w:rFonts w:cs="Times New Roman"/>
              </w:rPr>
              <w:t xml:space="preserve">and </w:t>
            </w:r>
            <w:r w:rsidRPr="00C03F19">
              <w:rPr>
                <w:rFonts w:cs="Times New Roman"/>
              </w:rPr>
              <w:t xml:space="preserve">exploratory discussions with Scottish Government officers </w:t>
            </w:r>
            <w:r>
              <w:rPr>
                <w:rFonts w:cs="Times New Roman"/>
              </w:rPr>
              <w:t>were</w:t>
            </w:r>
            <w:r w:rsidRPr="00C03F19">
              <w:rPr>
                <w:rFonts w:cs="Times New Roman"/>
              </w:rPr>
              <w:t xml:space="preserve"> scheduled for later in the month.  Senate will be kept informed of progress.</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2</w:t>
            </w:r>
            <w:r w:rsidRPr="00383856">
              <w:rPr>
                <w:rFonts w:ascii="Calibri" w:eastAsia="Calibri" w:hAnsi="Calibri" w:cs="Times New Roman"/>
                <w:b/>
              </w:rPr>
              <w:t>.</w:t>
            </w:r>
          </w:p>
        </w:tc>
        <w:tc>
          <w:tcPr>
            <w:tcW w:w="8708" w:type="dxa"/>
          </w:tcPr>
          <w:p w:rsidR="00AA0136" w:rsidRDefault="00AA0136" w:rsidP="00AA0136">
            <w:pPr>
              <w:contextualSpacing/>
              <w:jc w:val="both"/>
              <w:rPr>
                <w:rFonts w:ascii="Calibri" w:eastAsia="Calibri" w:hAnsi="Calibri" w:cs="Times New Roman"/>
                <w:b/>
              </w:rPr>
            </w:pPr>
            <w:r>
              <w:rPr>
                <w:rFonts w:ascii="Calibri" w:eastAsia="Calibri" w:hAnsi="Calibri" w:cs="Times New Roman"/>
                <w:b/>
              </w:rPr>
              <w:t>Senate Effectiveness Review</w:t>
            </w:r>
          </w:p>
          <w:p w:rsidR="00AA0136" w:rsidRPr="00383856"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Senate noted</w:t>
            </w:r>
            <w:r w:rsidRPr="00EC3DC4">
              <w:rPr>
                <w:rFonts w:ascii="Calibri" w:eastAsia="Calibri" w:hAnsi="Calibri" w:cs="Times New Roman"/>
              </w:rPr>
              <w:t xml:space="preserve"> </w:t>
            </w:r>
            <w:r>
              <w:rPr>
                <w:rFonts w:ascii="Calibri" w:eastAsia="Calibri" w:hAnsi="Calibri" w:cs="Times New Roman"/>
              </w:rPr>
              <w:t>a</w:t>
            </w:r>
            <w:r w:rsidRPr="00EC3DC4">
              <w:rPr>
                <w:rFonts w:ascii="Calibri" w:eastAsia="Calibri" w:hAnsi="Calibri" w:cs="Times New Roman"/>
              </w:rPr>
              <w:t xml:space="preserve"> progress</w:t>
            </w:r>
            <w:r>
              <w:rPr>
                <w:rFonts w:ascii="Calibri" w:eastAsia="Calibri" w:hAnsi="Calibri" w:cs="Times New Roman"/>
              </w:rPr>
              <w:t xml:space="preserve"> report</w:t>
            </w:r>
            <w:r w:rsidRPr="00EC3DC4">
              <w:rPr>
                <w:rFonts w:ascii="Calibri" w:eastAsia="Calibri" w:hAnsi="Calibri" w:cs="Times New Roman"/>
              </w:rPr>
              <w:t xml:space="preserve"> </w:t>
            </w:r>
            <w:r>
              <w:rPr>
                <w:rFonts w:ascii="Calibri" w:eastAsia="Calibri" w:hAnsi="Calibri" w:cs="Times New Roman"/>
              </w:rPr>
              <w:t>on</w:t>
            </w:r>
            <w:r w:rsidRPr="00EC3DC4">
              <w:rPr>
                <w:rFonts w:ascii="Calibri" w:eastAsia="Calibri" w:hAnsi="Calibri" w:cs="Times New Roman"/>
              </w:rPr>
              <w:t xml:space="preserve"> the implementation of the 25 actions arising out of the Senate Effectiveness Review</w:t>
            </w:r>
            <w:r>
              <w:rPr>
                <w:rFonts w:ascii="Calibri" w:eastAsia="Calibri" w:hAnsi="Calibri" w:cs="Times New Roman"/>
              </w:rPr>
              <w:t xml:space="preserve">.  Whilst many actions were already completed, work </w:t>
            </w:r>
            <w:r w:rsidRPr="00EC3DC4">
              <w:rPr>
                <w:rFonts w:ascii="Calibri" w:eastAsia="Calibri" w:hAnsi="Calibri" w:cs="Times New Roman"/>
              </w:rPr>
              <w:t xml:space="preserve">would be ongoing over the summer period and into 2018/19 academic year to complete all actions. </w:t>
            </w:r>
            <w:r w:rsidRPr="00247735">
              <w:rPr>
                <w:rFonts w:ascii="Calibri" w:eastAsia="Calibri" w:hAnsi="Calibri" w:cs="Times New Roman"/>
              </w:rPr>
              <w:t xml:space="preserve"> </w:t>
            </w:r>
            <w:r>
              <w:rPr>
                <w:rFonts w:ascii="Calibri" w:eastAsia="Calibri" w:hAnsi="Calibri" w:cs="Times New Roman"/>
              </w:rPr>
              <w:t xml:space="preserve"> It was agreed that</w:t>
            </w:r>
            <w:r w:rsidRPr="00EC3DC4">
              <w:rPr>
                <w:rFonts w:ascii="Calibri" w:eastAsia="Calibri" w:hAnsi="Calibri" w:cs="Times New Roman"/>
              </w:rPr>
              <w:t xml:space="preserve"> reference to SAGE (Student Action Group for Engagement) be included </w:t>
            </w:r>
            <w:r>
              <w:rPr>
                <w:rFonts w:ascii="Calibri" w:eastAsia="Calibri" w:hAnsi="Calibri" w:cs="Times New Roman"/>
              </w:rPr>
              <w:t xml:space="preserve">all </w:t>
            </w:r>
            <w:r w:rsidRPr="00EC3DC4">
              <w:rPr>
                <w:rFonts w:ascii="Calibri" w:eastAsia="Calibri" w:hAnsi="Calibri" w:cs="Times New Roman"/>
              </w:rPr>
              <w:t>Executive Summary Sheet</w:t>
            </w:r>
            <w:r>
              <w:rPr>
                <w:rFonts w:ascii="Calibri" w:eastAsia="Calibri" w:hAnsi="Calibri" w:cs="Times New Roman"/>
              </w:rPr>
              <w:t>s</w:t>
            </w:r>
            <w:r w:rsidRPr="00EC3DC4">
              <w:rPr>
                <w:rFonts w:ascii="Calibri" w:eastAsia="Calibri" w:hAnsi="Calibri" w:cs="Times New Roman"/>
              </w:rPr>
              <w:t xml:space="preserve"> in order to highlight the importance of student consultation.</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3</w:t>
            </w:r>
            <w:r w:rsidRPr="00383856">
              <w:rPr>
                <w:rFonts w:ascii="Calibri" w:eastAsia="Calibri" w:hAnsi="Calibri" w:cs="Times New Roman"/>
                <w:b/>
              </w:rPr>
              <w:t>.</w:t>
            </w:r>
          </w:p>
        </w:tc>
        <w:tc>
          <w:tcPr>
            <w:tcW w:w="8708" w:type="dxa"/>
          </w:tcPr>
          <w:p w:rsidR="00AA0136" w:rsidRDefault="00AA0136" w:rsidP="00AA0136">
            <w:pPr>
              <w:contextualSpacing/>
              <w:jc w:val="both"/>
              <w:rPr>
                <w:rFonts w:ascii="Calibri" w:eastAsia="Calibri" w:hAnsi="Calibri" w:cs="Times New Roman"/>
                <w:b/>
              </w:rPr>
            </w:pPr>
            <w:r>
              <w:rPr>
                <w:rFonts w:ascii="Calibri" w:eastAsia="Calibri" w:hAnsi="Calibri" w:cs="Times New Roman"/>
                <w:b/>
              </w:rPr>
              <w:t>Senate Forward Look 2018/19</w:t>
            </w:r>
          </w:p>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ascii="Calibri" w:eastAsia="Calibri" w:hAnsi="Calibri" w:cs="Times New Roman"/>
              </w:rPr>
            </w:pPr>
            <w:r>
              <w:rPr>
                <w:rFonts w:ascii="Calibri" w:eastAsia="Calibri" w:hAnsi="Calibri" w:cs="Times New Roman"/>
              </w:rPr>
              <w:t>Arising from the recommendations from the Senate Effectiveness Review, Senate received notification of issues anticipated to be considered by Senate in 2018/19, and additionally Senators were asked for suggestions for other areas for consideration.  The following areas to be considered by Senate in 2018/19 were  noted:-</w:t>
            </w:r>
          </w:p>
          <w:p w:rsidR="00AA0136" w:rsidRPr="008D78B6" w:rsidRDefault="00AA0136" w:rsidP="00AA0136">
            <w:pPr>
              <w:pStyle w:val="ListParagraph"/>
              <w:numPr>
                <w:ilvl w:val="0"/>
                <w:numId w:val="4"/>
              </w:numPr>
              <w:contextualSpacing/>
              <w:jc w:val="both"/>
              <w:rPr>
                <w:rFonts w:cs="Arial"/>
                <w:bCs/>
              </w:rPr>
            </w:pPr>
            <w:r w:rsidRPr="008D78B6">
              <w:rPr>
                <w:rFonts w:cs="Arial"/>
                <w:bCs/>
              </w:rPr>
              <w:t>Digital learning – An options paper on online and blended learning will be submitted to Senate in the first half of 2018/19.</w:t>
            </w:r>
          </w:p>
          <w:p w:rsidR="00AA0136" w:rsidRPr="008D78B6" w:rsidRDefault="00AA0136" w:rsidP="00AA0136">
            <w:pPr>
              <w:pStyle w:val="ListParagraph"/>
              <w:numPr>
                <w:ilvl w:val="0"/>
                <w:numId w:val="4"/>
              </w:numPr>
              <w:contextualSpacing/>
              <w:jc w:val="both"/>
              <w:rPr>
                <w:rFonts w:cs="Arial"/>
                <w:bCs/>
              </w:rPr>
            </w:pPr>
            <w:r w:rsidRPr="008D78B6">
              <w:rPr>
                <w:rFonts w:cs="Arial"/>
                <w:bCs/>
              </w:rPr>
              <w:lastRenderedPageBreak/>
              <w:t>Working with the NHS</w:t>
            </w:r>
            <w:r>
              <w:rPr>
                <w:rFonts w:cs="Arial"/>
                <w:bCs/>
              </w:rPr>
              <w:t xml:space="preserve"> and the third sector</w:t>
            </w:r>
            <w:r w:rsidRPr="008D78B6">
              <w:rPr>
                <w:rFonts w:cs="Arial"/>
                <w:bCs/>
              </w:rPr>
              <w:t xml:space="preserve"> – The new Dean of the School of Health and Life Sciences will review the University’s working relationships with the NHS and enhancing capability in this area.</w:t>
            </w:r>
          </w:p>
          <w:p w:rsidR="00AA0136" w:rsidRPr="008D78B6" w:rsidRDefault="00AA0136" w:rsidP="00AA0136">
            <w:pPr>
              <w:pStyle w:val="ListParagraph"/>
              <w:numPr>
                <w:ilvl w:val="0"/>
                <w:numId w:val="4"/>
              </w:numPr>
              <w:contextualSpacing/>
              <w:jc w:val="both"/>
              <w:rPr>
                <w:rFonts w:cs="Arial"/>
                <w:bCs/>
              </w:rPr>
            </w:pPr>
            <w:r w:rsidRPr="008D78B6">
              <w:rPr>
                <w:rFonts w:cs="Arial"/>
                <w:bCs/>
              </w:rPr>
              <w:t>Teacher Training – Senate will be kept informed about discussions with the Scottish Government about the addition of teacher education to the academic portfolio.</w:t>
            </w:r>
          </w:p>
          <w:p w:rsidR="00AA0136" w:rsidRPr="008D78B6" w:rsidRDefault="00AA0136" w:rsidP="00AA0136">
            <w:pPr>
              <w:pStyle w:val="ListParagraph"/>
              <w:numPr>
                <w:ilvl w:val="0"/>
                <w:numId w:val="4"/>
              </w:numPr>
              <w:contextualSpacing/>
              <w:jc w:val="both"/>
              <w:rPr>
                <w:rFonts w:cs="Arial"/>
                <w:bCs/>
              </w:rPr>
            </w:pPr>
            <w:r w:rsidRPr="008D78B6">
              <w:rPr>
                <w:rFonts w:cs="Arial"/>
                <w:bCs/>
              </w:rPr>
              <w:t>Academic Leadership – Following on from the schools’ refresh, Senate will be consulted on proposals for the enhancement of academic leadership.</w:t>
            </w:r>
          </w:p>
          <w:p w:rsidR="00AA0136" w:rsidRPr="008D78B6" w:rsidRDefault="00AA0136" w:rsidP="00AA0136">
            <w:pPr>
              <w:pStyle w:val="ListParagraph"/>
              <w:numPr>
                <w:ilvl w:val="0"/>
                <w:numId w:val="4"/>
              </w:numPr>
              <w:contextualSpacing/>
              <w:jc w:val="both"/>
              <w:rPr>
                <w:rFonts w:cs="Arial"/>
                <w:bCs/>
              </w:rPr>
            </w:pPr>
            <w:r w:rsidRPr="008D78B6">
              <w:rPr>
                <w:rFonts w:cs="Arial"/>
                <w:bCs/>
              </w:rPr>
              <w:t>International and Transnational Education – Senate in October will receive an update on the latest developments in Transnational Education.</w:t>
            </w:r>
          </w:p>
          <w:p w:rsidR="00AA0136" w:rsidRPr="008D78B6" w:rsidRDefault="00AA0136" w:rsidP="00AA0136">
            <w:pPr>
              <w:pStyle w:val="ListParagraph"/>
              <w:numPr>
                <w:ilvl w:val="0"/>
                <w:numId w:val="4"/>
              </w:numPr>
              <w:contextualSpacing/>
              <w:jc w:val="both"/>
              <w:rPr>
                <w:rFonts w:cs="Arial"/>
                <w:bCs/>
              </w:rPr>
            </w:pPr>
            <w:r w:rsidRPr="008D78B6">
              <w:rPr>
                <w:rFonts w:cs="Arial"/>
                <w:bCs/>
              </w:rPr>
              <w:t>TEF – Senate will be kept informed of the developments in the TEF.</w:t>
            </w:r>
          </w:p>
          <w:p w:rsidR="00AA0136" w:rsidRDefault="00AA0136" w:rsidP="00AA0136">
            <w:pPr>
              <w:pStyle w:val="ListParagraph"/>
              <w:numPr>
                <w:ilvl w:val="0"/>
                <w:numId w:val="4"/>
              </w:numPr>
              <w:contextualSpacing/>
              <w:jc w:val="both"/>
              <w:rPr>
                <w:rFonts w:cs="Arial"/>
                <w:bCs/>
              </w:rPr>
            </w:pPr>
            <w:r w:rsidRPr="008D78B6">
              <w:rPr>
                <w:rFonts w:cs="Arial"/>
                <w:bCs/>
              </w:rPr>
              <w:t>Our campus and learning environment – Senate will be involved in discussions around the university estate and learning environment.</w:t>
            </w:r>
          </w:p>
          <w:p w:rsidR="00AA0136" w:rsidRDefault="00AA0136" w:rsidP="00AA0136">
            <w:pPr>
              <w:pStyle w:val="ListParagraph"/>
              <w:numPr>
                <w:ilvl w:val="0"/>
                <w:numId w:val="4"/>
              </w:numPr>
              <w:contextualSpacing/>
              <w:jc w:val="both"/>
              <w:rPr>
                <w:rFonts w:cs="Arial"/>
                <w:bCs/>
              </w:rPr>
            </w:pPr>
            <w:r w:rsidRPr="008A4983">
              <w:rPr>
                <w:rFonts w:cs="Arial"/>
                <w:bCs/>
              </w:rPr>
              <w:t>Connecting learning and research across our campuses – teaching, learning and research linkages between Glasgow, London and New York.  This will be brought to Senate in the second half of 2018/19, following the Mid-States Higher Education Board’s consideration of GCNYC’s request for accreditation.</w:t>
            </w:r>
          </w:p>
          <w:p w:rsidR="00AA0136" w:rsidRDefault="00AA0136" w:rsidP="00AA0136">
            <w:pPr>
              <w:pStyle w:val="ListParagraph"/>
              <w:numPr>
                <w:ilvl w:val="0"/>
                <w:numId w:val="4"/>
              </w:numPr>
              <w:contextualSpacing/>
              <w:jc w:val="both"/>
              <w:rPr>
                <w:rFonts w:cs="Arial"/>
                <w:bCs/>
              </w:rPr>
            </w:pPr>
            <w:r>
              <w:rPr>
                <w:rFonts w:cs="Arial"/>
                <w:bCs/>
              </w:rPr>
              <w:t>Sustainability within the curriculum</w:t>
            </w:r>
          </w:p>
          <w:p w:rsidR="00AA0136" w:rsidRPr="00925753" w:rsidRDefault="00AA0136" w:rsidP="00AA0136">
            <w:pPr>
              <w:pStyle w:val="ListParagraph"/>
              <w:numPr>
                <w:ilvl w:val="0"/>
                <w:numId w:val="4"/>
              </w:numPr>
              <w:contextualSpacing/>
              <w:jc w:val="both"/>
              <w:rPr>
                <w:rFonts w:cs="Arial"/>
                <w:bCs/>
              </w:rPr>
            </w:pPr>
            <w:r>
              <w:rPr>
                <w:rFonts w:cs="Arial"/>
                <w:bCs/>
              </w:rPr>
              <w:t>Equality and equal pay</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4.</w:t>
            </w:r>
          </w:p>
        </w:tc>
        <w:tc>
          <w:tcPr>
            <w:tcW w:w="8708" w:type="dxa"/>
          </w:tcPr>
          <w:p w:rsidR="00AA0136" w:rsidRDefault="00AA0136" w:rsidP="00AA0136">
            <w:pPr>
              <w:contextualSpacing/>
              <w:jc w:val="both"/>
              <w:rPr>
                <w:rFonts w:ascii="Calibri" w:eastAsia="Calibri" w:hAnsi="Calibri" w:cs="Times New Roman"/>
                <w:b/>
              </w:rPr>
            </w:pPr>
            <w:r w:rsidRPr="008A4983">
              <w:rPr>
                <w:rFonts w:ascii="Calibri" w:eastAsia="Calibri" w:hAnsi="Calibri" w:cs="Times New Roman"/>
                <w:b/>
              </w:rPr>
              <w:t>SFC Outcome Agreement 2017/18 and 2019/20</w:t>
            </w:r>
          </w:p>
          <w:p w:rsidR="00AA0136" w:rsidRPr="00383856" w:rsidRDefault="00AA0136" w:rsidP="00AA0136">
            <w:pPr>
              <w:contextualSpacing/>
              <w:jc w:val="both"/>
              <w:rPr>
                <w:rFonts w:ascii="Calibri" w:eastAsia="Calibri" w:hAnsi="Calibri" w:cs="Times New Roman"/>
                <w:b/>
              </w:rPr>
            </w:pPr>
            <w:r w:rsidRPr="00383856">
              <w:rPr>
                <w:rFonts w:ascii="Calibri" w:eastAsia="Calibri" w:hAnsi="Calibri" w:cs="Times New Roman"/>
                <w:b/>
              </w:rPr>
              <w:tab/>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Senate received t</w:t>
            </w:r>
            <w:r w:rsidRPr="008A4983">
              <w:rPr>
                <w:rFonts w:ascii="Calibri" w:eastAsia="Calibri" w:hAnsi="Calibri" w:cs="Times New Roman"/>
              </w:rPr>
              <w:t>he 2018-19 update to the University’s Outcome Agreement with the Scottish Funding Council (SFC) for the period 2017-18 to 2019-20</w:t>
            </w:r>
            <w:r>
              <w:rPr>
                <w:rFonts w:ascii="Calibri" w:eastAsia="Calibri" w:hAnsi="Calibri" w:cs="Times New Roman"/>
              </w:rPr>
              <w:t>.  It was highlighted that</w:t>
            </w:r>
            <w:r w:rsidRPr="008A4983">
              <w:rPr>
                <w:rFonts w:ascii="Calibri" w:eastAsia="Calibri" w:hAnsi="Calibri" w:cs="Times New Roman"/>
              </w:rPr>
              <w:t xml:space="preserve"> that whilst the Outcome Agreement had still to be signed off, no problems were anticipated.  Importantly the University had received confirmation of additional funding of £1.1m in 2018/19 for additional nursing places.</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5</w:t>
            </w:r>
            <w:r w:rsidRPr="00383856">
              <w:rPr>
                <w:rFonts w:ascii="Calibri" w:eastAsia="Calibri" w:hAnsi="Calibri" w:cs="Times New Roman"/>
                <w:b/>
              </w:rPr>
              <w:t>.</w:t>
            </w:r>
          </w:p>
        </w:tc>
        <w:tc>
          <w:tcPr>
            <w:tcW w:w="8708" w:type="dxa"/>
          </w:tcPr>
          <w:p w:rsidR="00AA0136" w:rsidRDefault="00AA0136" w:rsidP="00AA0136">
            <w:pPr>
              <w:contextualSpacing/>
              <w:jc w:val="both"/>
              <w:rPr>
                <w:rFonts w:ascii="Calibri" w:eastAsia="Calibri" w:hAnsi="Calibri" w:cs="Times New Roman"/>
                <w:b/>
              </w:rPr>
            </w:pPr>
            <w:r w:rsidRPr="008A4983">
              <w:rPr>
                <w:rFonts w:ascii="Calibri" w:eastAsia="Calibri" w:hAnsi="Calibri" w:cs="Times New Roman"/>
                <w:b/>
              </w:rPr>
              <w:t>Research Excellence Framework</w:t>
            </w:r>
          </w:p>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cs="Times New Roman"/>
              </w:rPr>
            </w:pPr>
            <w:r>
              <w:rPr>
                <w:rFonts w:cs="Times New Roman"/>
              </w:rPr>
              <w:t>The</w:t>
            </w:r>
            <w:r w:rsidRPr="006D799B">
              <w:rPr>
                <w:rFonts w:cs="Times New Roman"/>
              </w:rPr>
              <w:t xml:space="preserve"> PVC Research</w:t>
            </w:r>
            <w:r>
              <w:rPr>
                <w:rFonts w:cs="Times New Roman"/>
              </w:rPr>
              <w:t xml:space="preserve"> informed Senate</w:t>
            </w:r>
            <w:r w:rsidRPr="006D799B">
              <w:rPr>
                <w:rFonts w:cs="Times New Roman"/>
              </w:rPr>
              <w:t xml:space="preserve"> that following two rounds of consultation and an independent review of the REF, headed by Lord Stern, there was now more clarity around what REF 2021 would involve.  Each submitting institution would have to follow a Code of Practice, to be agreed with the UK funding bodies during 2018-19, to determine which </w:t>
            </w:r>
            <w:proofErr w:type="gramStart"/>
            <w:r w:rsidRPr="006D799B">
              <w:rPr>
                <w:rFonts w:cs="Times New Roman"/>
              </w:rPr>
              <w:t>staff were</w:t>
            </w:r>
            <w:proofErr w:type="gramEnd"/>
            <w:r w:rsidRPr="006D799B">
              <w:rPr>
                <w:rFonts w:cs="Times New Roman"/>
              </w:rPr>
              <w:t xml:space="preserve"> t</w:t>
            </w:r>
            <w:r>
              <w:rPr>
                <w:rFonts w:cs="Times New Roman"/>
              </w:rPr>
              <w:t>o be included. This has allayed</w:t>
            </w:r>
            <w:r w:rsidRPr="006D799B">
              <w:rPr>
                <w:rFonts w:cs="Times New Roman"/>
              </w:rPr>
              <w:t xml:space="preserve"> fears about includ</w:t>
            </w:r>
            <w:r>
              <w:rPr>
                <w:rFonts w:cs="Times New Roman"/>
              </w:rPr>
              <w:t>ing</w:t>
            </w:r>
            <w:r w:rsidRPr="006D799B">
              <w:rPr>
                <w:rFonts w:cs="Times New Roman"/>
              </w:rPr>
              <w:t xml:space="preserve"> staff with zero outputs, which would have severely dilute our quality scores relative to other institutions with higher proportions of active researchers and could be damaging to the university’s positive research trajectory over the past decade.  For those staff submitted, the average number of outputs submitted would be 2.5, with a minimum of 1 and maximum of 5. Previously each staff member, with a few exceptions, had to submit four outputs.  The REF 2021 also included additional aspects associated with research impact and environment.  A REF Management Group had been established to ensure an optimal submission in November 2020.</w:t>
            </w:r>
          </w:p>
          <w:p w:rsidR="00AA0136" w:rsidRDefault="00AA0136" w:rsidP="00AA0136">
            <w:pPr>
              <w:contextualSpacing/>
              <w:jc w:val="both"/>
              <w:rPr>
                <w:rFonts w:cs="Times New Roman"/>
              </w:rPr>
            </w:pPr>
          </w:p>
          <w:p w:rsidR="00AA0136" w:rsidRDefault="00AA0136" w:rsidP="00AA0136">
            <w:pPr>
              <w:contextualSpacing/>
              <w:jc w:val="both"/>
              <w:rPr>
                <w:rFonts w:cs="Times New Roman"/>
              </w:rPr>
            </w:pPr>
            <w:r>
              <w:rPr>
                <w:rFonts w:cs="Times New Roman"/>
              </w:rPr>
              <w:t>The University’s</w:t>
            </w:r>
            <w:r w:rsidRPr="006D799B">
              <w:rPr>
                <w:rFonts w:cs="Times New Roman"/>
              </w:rPr>
              <w:t xml:space="preserve"> research information man</w:t>
            </w:r>
            <w:r>
              <w:rPr>
                <w:rFonts w:cs="Times New Roman"/>
              </w:rPr>
              <w:t xml:space="preserve">agement system was up to date </w:t>
            </w:r>
            <w:r w:rsidRPr="006D799B">
              <w:rPr>
                <w:rFonts w:cs="Times New Roman"/>
              </w:rPr>
              <w:t xml:space="preserve">and populated with research outputs from relevant staff during the current REF period, and plans were in place to make fuller use of this facility. This was important as more emphasis would be placed on such systems to produce information for the REF, largely driven by the requirement to make all submitted publications publicly-available (i.e. open access).  Initial ‘stocktakes’ for the three main Schools had been undertaken and, as well as testing our research information management system, these had shown that the University was in a healthy position relative to </w:t>
            </w:r>
            <w:r w:rsidRPr="006D799B">
              <w:rPr>
                <w:rFonts w:cs="Times New Roman"/>
              </w:rPr>
              <w:lastRenderedPageBreak/>
              <w:t xml:space="preserve">what would be required in the REF and also relative to the position in </w:t>
            </w:r>
            <w:r>
              <w:rPr>
                <w:rFonts w:cs="Times New Roman"/>
              </w:rPr>
              <w:t>2014</w:t>
            </w:r>
            <w:r w:rsidRPr="006D799B">
              <w:rPr>
                <w:rFonts w:cs="Times New Roman"/>
              </w:rPr>
              <w:t>.</w:t>
            </w:r>
            <w:r>
              <w:rPr>
                <w:rFonts w:cs="Times New Roman"/>
              </w:rPr>
              <w:t xml:space="preserve">  </w:t>
            </w:r>
            <w:r w:rsidRPr="006D799B">
              <w:rPr>
                <w:rFonts w:cs="Times New Roman"/>
              </w:rPr>
              <w:t>Additionally a   Research Impact Officer had been appointed in the School of Health &amp; Life Sciences and plans were in place for the rest of the University.</w:t>
            </w:r>
          </w:p>
          <w:p w:rsidR="00AA0136" w:rsidRDefault="00AA0136" w:rsidP="00AA0136">
            <w:pPr>
              <w:contextualSpacing/>
              <w:jc w:val="both"/>
              <w:rPr>
                <w:rFonts w:cs="Times New Roman"/>
              </w:rPr>
            </w:pPr>
          </w:p>
          <w:p w:rsidR="00AA0136" w:rsidRDefault="00AA0136" w:rsidP="00AA0136">
            <w:pPr>
              <w:contextualSpacing/>
              <w:jc w:val="both"/>
              <w:rPr>
                <w:rFonts w:cs="Times New Roman"/>
              </w:rPr>
            </w:pPr>
            <w:r w:rsidRPr="006D799B">
              <w:rPr>
                <w:rFonts w:cs="Times New Roman"/>
              </w:rPr>
              <w:t>It was anticipated that the Code of Practice would be approved by the Funding Council in early 2019, following which the University would undertake a mock REF.  It was not yet clear whether there would be any quality threshold for REF participation.</w:t>
            </w:r>
          </w:p>
          <w:p w:rsidR="00AA0136" w:rsidRDefault="00AA0136" w:rsidP="00AA0136">
            <w:pPr>
              <w:tabs>
                <w:tab w:val="left" w:pos="6408"/>
              </w:tabs>
              <w:contextualSpacing/>
              <w:jc w:val="both"/>
              <w:rPr>
                <w:rFonts w:cs="Times New Roman"/>
              </w:rPr>
            </w:pPr>
            <w:r>
              <w:rPr>
                <w:rFonts w:cs="Times New Roman"/>
              </w:rPr>
              <w:tab/>
            </w:r>
          </w:p>
          <w:p w:rsidR="00AA0136" w:rsidRPr="006D799B" w:rsidRDefault="00AA0136" w:rsidP="00AA0136">
            <w:pPr>
              <w:contextualSpacing/>
              <w:jc w:val="both"/>
              <w:rPr>
                <w:rFonts w:cs="Times New Roman"/>
              </w:rPr>
            </w:pPr>
            <w:r w:rsidRPr="006D799B">
              <w:rPr>
                <w:rFonts w:cs="Times New Roman"/>
              </w:rPr>
              <w:t>In response to a question querying the varying practices across the University for the allocation of time for research, the PVC Research advised that this was currently the subject of active discussion, and there was a desire to include research within workloads in a positive way.  This would involve a less formulaic than had previously been taken.  This approach was welcomed by Senate.</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6</w:t>
            </w:r>
            <w:r w:rsidRPr="00383856">
              <w:rPr>
                <w:rFonts w:ascii="Calibri" w:eastAsia="Calibri" w:hAnsi="Calibri" w:cs="Times New Roman"/>
                <w:b/>
              </w:rPr>
              <w:t>.</w:t>
            </w:r>
          </w:p>
        </w:tc>
        <w:tc>
          <w:tcPr>
            <w:tcW w:w="8708" w:type="dxa"/>
          </w:tcPr>
          <w:p w:rsidR="00AA0136" w:rsidRDefault="00AA0136" w:rsidP="00AA0136">
            <w:pPr>
              <w:contextualSpacing/>
              <w:jc w:val="both"/>
              <w:rPr>
                <w:rFonts w:ascii="Calibri" w:eastAsia="Calibri" w:hAnsi="Calibri" w:cs="Times New Roman"/>
                <w:b/>
              </w:rPr>
            </w:pPr>
            <w:r w:rsidRPr="006D799B">
              <w:rPr>
                <w:rFonts w:ascii="Calibri" w:eastAsia="Calibri" w:hAnsi="Calibri" w:cs="Times New Roman"/>
                <w:b/>
              </w:rPr>
              <w:t>Schools’ Refresh</w:t>
            </w:r>
          </w:p>
          <w:p w:rsidR="00AA0136" w:rsidRPr="00383856"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p>
        </w:tc>
        <w:tc>
          <w:tcPr>
            <w:tcW w:w="8708" w:type="dxa"/>
          </w:tcPr>
          <w:p w:rsidR="00AA0136" w:rsidRDefault="00AA0136" w:rsidP="00AA0136">
            <w:pPr>
              <w:contextualSpacing/>
              <w:jc w:val="both"/>
              <w:rPr>
                <w:rFonts w:ascii="Calibri" w:eastAsia="Calibri" w:hAnsi="Calibri" w:cs="Times New Roman"/>
              </w:rPr>
            </w:pPr>
            <w:r>
              <w:rPr>
                <w:rFonts w:ascii="Calibri" w:eastAsia="Calibri" w:hAnsi="Calibri" w:cs="Times New Roman"/>
              </w:rPr>
              <w:t>Senate was informed b</w:t>
            </w:r>
            <w:r w:rsidRPr="006D799B">
              <w:rPr>
                <w:rFonts w:ascii="Calibri" w:eastAsia="Calibri" w:hAnsi="Calibri" w:cs="Times New Roman"/>
              </w:rPr>
              <w:t>y the DVC (Academic) that draft structures for SHLS and SEBE had been considered by Executive Board.  Discussions in GSBS were not as advanced as in the other schools and consequently further workshops and meetings had been arranged.  A key feature raised in consultation across all areas, was the desire for smaller, more coherent, academic departments and strategic direction.  Discussions were also underway around having the ability to quickly respond to changing demands, and procedures were being reviewed to support responsiveness in the portfolio whilst maintaining academic standards.</w:t>
            </w:r>
          </w:p>
          <w:p w:rsidR="00AA0136"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Pr>
                <w:rFonts w:ascii="Calibri" w:eastAsia="Calibri" w:hAnsi="Calibri" w:cs="Times New Roman"/>
              </w:rPr>
              <w:t>The Deans of SHLS and SEBE  reported that since the last Senate there had been extensive consultation and positive staff engagement, and the proposed structures for both schools been developed taking account of areas of academic strength and external market requirements.</w:t>
            </w:r>
          </w:p>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br/>
              <w:t>As the next meeting of Senate was not scheduled until 12</w:t>
            </w:r>
            <w:r w:rsidRPr="0060102F">
              <w:rPr>
                <w:rFonts w:ascii="Calibri" w:eastAsia="Calibri" w:hAnsi="Calibri" w:cs="Times New Roman"/>
                <w:vertAlign w:val="superscript"/>
              </w:rPr>
              <w:t>th</w:t>
            </w:r>
            <w:r>
              <w:rPr>
                <w:rFonts w:ascii="Calibri" w:eastAsia="Calibri" w:hAnsi="Calibri" w:cs="Times New Roman"/>
              </w:rPr>
              <w:t xml:space="preserve"> October, Senate would be consulted electronically on the proposed structures off all three schools in advance of the new academic year. Any significant changes would also require Court approval/endorsement. </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p>
        </w:tc>
        <w:tc>
          <w:tcPr>
            <w:tcW w:w="8708" w:type="dxa"/>
          </w:tcPr>
          <w:p w:rsidR="00AA013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7.</w:t>
            </w:r>
          </w:p>
        </w:tc>
        <w:tc>
          <w:tcPr>
            <w:tcW w:w="8708" w:type="dxa"/>
          </w:tcPr>
          <w:p w:rsidR="00AA0136" w:rsidRDefault="00AA0136" w:rsidP="00AA0136">
            <w:pPr>
              <w:contextualSpacing/>
              <w:jc w:val="both"/>
              <w:rPr>
                <w:rFonts w:ascii="Calibri" w:eastAsia="Calibri" w:hAnsi="Calibri" w:cs="Times New Roman"/>
                <w:b/>
              </w:rPr>
            </w:pPr>
            <w:r w:rsidRPr="0060102F">
              <w:rPr>
                <w:rFonts w:ascii="Calibri" w:eastAsia="Calibri" w:hAnsi="Calibri" w:cs="Times New Roman"/>
                <w:b/>
              </w:rPr>
              <w:t>Student Experience Action Plan</w:t>
            </w:r>
          </w:p>
          <w:p w:rsidR="00AA013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ascii="Calibri" w:eastAsia="Calibri" w:hAnsi="Calibri" w:cs="Times New Roman"/>
              </w:rPr>
            </w:pPr>
            <w:r w:rsidRPr="0060102F">
              <w:rPr>
                <w:rFonts w:ascii="Calibri" w:eastAsia="Calibri" w:hAnsi="Calibri" w:cs="Times New Roman"/>
              </w:rPr>
              <w:t xml:space="preserve">The Director of Student Experience reminded Senate that The Enhancing the Student Experience 2020 Action Plan (SEAP) had been launched in 2016 in support of Strategy 2020.  Since then a significant programme of work had been undertaken, overseen by the Enhancing the Student Experience Steering Group, chaired by the DVC Academic.  The SEAP contained 4 main themes: Student Engagement and a Sense of Belonging; Programme Organisation and Management; Assessment and Feedback and Wider Student Experience.  A number of the actions within the plan had been completed, and a watching brief was being maintained on these actions. </w:t>
            </w:r>
          </w:p>
          <w:p w:rsidR="00AA0136"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sidRPr="0060102F">
              <w:rPr>
                <w:rFonts w:ascii="Calibri" w:eastAsia="Calibri" w:hAnsi="Calibri" w:cs="Times New Roman"/>
              </w:rPr>
              <w:t xml:space="preserve">Under the Wider Student Experience theme, The Common Good Award was successfully piloted in 2017/18 for students at Level 3 and above. To date, 103 students had enrolled on the scheme, with 50 students receiving digital badges and seven awarded the full Common Good Award.  An evaluation of the Common Good Award had been undertaken, with positive </w:t>
            </w:r>
            <w:r w:rsidRPr="0060102F">
              <w:rPr>
                <w:rFonts w:ascii="Calibri" w:eastAsia="Calibri" w:hAnsi="Calibri" w:cs="Times New Roman"/>
              </w:rPr>
              <w:lastRenderedPageBreak/>
              <w:t>results from participants and initial consultation with employers indicated that the Common Good Attributes were aligned to the capabilities, and the underpinning values, sought in graduates.  It was therefore intended to roll out the Common Good Award to all year groups in 2018/19.</w:t>
            </w:r>
          </w:p>
          <w:p w:rsidR="00AA0136" w:rsidRDefault="00AA0136" w:rsidP="00AA0136">
            <w:pPr>
              <w:contextualSpacing/>
              <w:jc w:val="both"/>
              <w:rPr>
                <w:rFonts w:ascii="Calibri" w:eastAsia="Calibri" w:hAnsi="Calibri" w:cs="Times New Roman"/>
              </w:rPr>
            </w:pPr>
          </w:p>
          <w:p w:rsidR="00AA0136" w:rsidRPr="0060102F" w:rsidRDefault="00AA0136" w:rsidP="00AA0136">
            <w:pPr>
              <w:contextualSpacing/>
              <w:jc w:val="both"/>
              <w:rPr>
                <w:rFonts w:ascii="Calibri" w:eastAsia="Calibri" w:hAnsi="Calibri" w:cs="Times New Roman"/>
              </w:rPr>
            </w:pPr>
            <w:r>
              <w:rPr>
                <w:rFonts w:ascii="Calibri" w:eastAsia="Calibri" w:hAnsi="Calibri" w:cs="Times New Roman"/>
              </w:rPr>
              <w:t>T</w:t>
            </w:r>
            <w:r w:rsidRPr="0060102F">
              <w:rPr>
                <w:rFonts w:ascii="Calibri" w:eastAsia="Calibri" w:hAnsi="Calibri" w:cs="Times New Roman"/>
              </w:rPr>
              <w:t xml:space="preserve">he </w:t>
            </w:r>
            <w:r>
              <w:rPr>
                <w:rFonts w:ascii="Calibri" w:eastAsia="Calibri" w:hAnsi="Calibri" w:cs="Times New Roman"/>
              </w:rPr>
              <w:t>undernoted</w:t>
            </w:r>
            <w:r w:rsidRPr="0060102F">
              <w:rPr>
                <w:rFonts w:ascii="Calibri" w:eastAsia="Calibri" w:hAnsi="Calibri" w:cs="Times New Roman"/>
              </w:rPr>
              <w:t xml:space="preserve"> priority areas </w:t>
            </w:r>
            <w:r>
              <w:rPr>
                <w:rFonts w:ascii="Calibri" w:eastAsia="Calibri" w:hAnsi="Calibri" w:cs="Times New Roman"/>
              </w:rPr>
              <w:t xml:space="preserve">had been identified </w:t>
            </w:r>
            <w:r w:rsidRPr="0060102F">
              <w:rPr>
                <w:rFonts w:ascii="Calibri" w:eastAsia="Calibri" w:hAnsi="Calibri" w:cs="Times New Roman"/>
              </w:rPr>
              <w:t>for 2018/19:</w:t>
            </w:r>
          </w:p>
          <w:p w:rsidR="00AA0136" w:rsidRPr="0060102F" w:rsidRDefault="00AA0136" w:rsidP="00AA0136">
            <w:pPr>
              <w:contextualSpacing/>
              <w:jc w:val="both"/>
              <w:rPr>
                <w:rFonts w:ascii="Calibri" w:eastAsia="Calibri" w:hAnsi="Calibri" w:cs="Times New Roman"/>
              </w:rPr>
            </w:pPr>
          </w:p>
          <w:p w:rsidR="00AA0136" w:rsidRPr="0060102F" w:rsidRDefault="00AA0136" w:rsidP="00AA0136">
            <w:pPr>
              <w:contextualSpacing/>
              <w:jc w:val="both"/>
              <w:rPr>
                <w:rFonts w:ascii="Calibri" w:eastAsia="Calibri" w:hAnsi="Calibri" w:cs="Times New Roman"/>
              </w:rPr>
            </w:pPr>
            <w:r w:rsidRPr="0060102F">
              <w:rPr>
                <w:rFonts w:ascii="Calibri" w:eastAsia="Calibri" w:hAnsi="Calibri" w:cs="Times New Roman"/>
              </w:rPr>
              <w:t>1. Academic advising</w:t>
            </w:r>
          </w:p>
          <w:p w:rsidR="00AA0136" w:rsidRPr="0060102F" w:rsidRDefault="00AA0136" w:rsidP="00AA0136">
            <w:pPr>
              <w:contextualSpacing/>
              <w:jc w:val="both"/>
              <w:rPr>
                <w:rFonts w:ascii="Calibri" w:eastAsia="Calibri" w:hAnsi="Calibri" w:cs="Times New Roman"/>
              </w:rPr>
            </w:pPr>
            <w:r w:rsidRPr="0060102F">
              <w:rPr>
                <w:rFonts w:ascii="Calibri" w:eastAsia="Calibri" w:hAnsi="Calibri" w:cs="Times New Roman"/>
              </w:rPr>
              <w:t>2. Student engagement/student voice</w:t>
            </w:r>
          </w:p>
          <w:p w:rsidR="00AA0136" w:rsidRPr="0060102F" w:rsidRDefault="00AA0136" w:rsidP="00AA0136">
            <w:pPr>
              <w:contextualSpacing/>
              <w:jc w:val="both"/>
              <w:rPr>
                <w:rFonts w:ascii="Calibri" w:eastAsia="Calibri" w:hAnsi="Calibri" w:cs="Times New Roman"/>
              </w:rPr>
            </w:pPr>
            <w:r w:rsidRPr="0060102F">
              <w:rPr>
                <w:rFonts w:ascii="Calibri" w:eastAsia="Calibri" w:hAnsi="Calibri" w:cs="Times New Roman"/>
              </w:rPr>
              <w:t>3. Digital learning, assessment and feedback</w:t>
            </w:r>
          </w:p>
          <w:p w:rsidR="00AA0136" w:rsidRPr="0060102F" w:rsidRDefault="00AA0136" w:rsidP="00AA0136">
            <w:pPr>
              <w:contextualSpacing/>
              <w:jc w:val="both"/>
              <w:rPr>
                <w:rFonts w:ascii="Calibri" w:eastAsia="Calibri" w:hAnsi="Calibri" w:cs="Times New Roman"/>
              </w:rPr>
            </w:pPr>
            <w:r w:rsidRPr="0060102F">
              <w:rPr>
                <w:rFonts w:ascii="Calibri" w:eastAsia="Calibri" w:hAnsi="Calibri" w:cs="Times New Roman"/>
              </w:rPr>
              <w:t>4. Academic leadership</w:t>
            </w:r>
          </w:p>
          <w:p w:rsidR="00AA0136" w:rsidRPr="0060102F" w:rsidRDefault="00AA0136" w:rsidP="00AA0136">
            <w:pPr>
              <w:contextualSpacing/>
              <w:jc w:val="both"/>
              <w:rPr>
                <w:rFonts w:ascii="Calibri" w:eastAsia="Calibri" w:hAnsi="Calibri" w:cs="Times New Roman"/>
              </w:rPr>
            </w:pPr>
            <w:r w:rsidRPr="0060102F">
              <w:rPr>
                <w:rFonts w:ascii="Calibri" w:eastAsia="Calibri" w:hAnsi="Calibri" w:cs="Times New Roman"/>
              </w:rPr>
              <w:t>5. Wider student experience</w:t>
            </w:r>
          </w:p>
          <w:p w:rsidR="00AA0136" w:rsidRPr="0060102F" w:rsidRDefault="00AA0136" w:rsidP="00AA0136">
            <w:pPr>
              <w:contextualSpacing/>
              <w:jc w:val="both"/>
              <w:rPr>
                <w:rFonts w:ascii="Calibri" w:eastAsia="Calibri" w:hAnsi="Calibri" w:cs="Times New Roman"/>
              </w:rPr>
            </w:pPr>
          </w:p>
          <w:p w:rsidR="00AA0136" w:rsidRPr="00383856" w:rsidRDefault="00AA0136" w:rsidP="00AA0136">
            <w:pPr>
              <w:contextualSpacing/>
              <w:jc w:val="both"/>
              <w:rPr>
                <w:rFonts w:ascii="Calibri" w:eastAsia="Calibri" w:hAnsi="Calibri" w:cs="Times New Roman"/>
              </w:rPr>
            </w:pPr>
            <w:r w:rsidRPr="0060102F">
              <w:rPr>
                <w:rFonts w:ascii="Calibri" w:eastAsia="Calibri" w:hAnsi="Calibri" w:cs="Times New Roman"/>
              </w:rPr>
              <w:t>A more detailed work plan for 2018/19 was under development in partnership with the academic Schools, professional services departments and Students’ Association, and a fuller progress update would be submitted to Senate in September 2018, focusing on the CPD for staff which underpinned a number of SEAP activities.</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6B64F2" w:rsidRDefault="00AA0136" w:rsidP="00AA0136">
            <w:pPr>
              <w:contextualSpacing/>
              <w:jc w:val="both"/>
              <w:rPr>
                <w:rFonts w:ascii="Calibri" w:eastAsia="Calibri" w:hAnsi="Calibri" w:cs="Times New Roman"/>
                <w:b/>
              </w:rPr>
            </w:pPr>
            <w:r>
              <w:rPr>
                <w:rFonts w:ascii="Calibri" w:eastAsia="Calibri" w:hAnsi="Calibri" w:cs="Times New Roman"/>
                <w:b/>
              </w:rPr>
              <w:t>8</w:t>
            </w:r>
            <w:r w:rsidRPr="006B64F2">
              <w:rPr>
                <w:rFonts w:ascii="Calibri" w:eastAsia="Calibri" w:hAnsi="Calibri" w:cs="Times New Roman"/>
                <w:b/>
              </w:rPr>
              <w:t xml:space="preserve">.  </w:t>
            </w:r>
          </w:p>
        </w:tc>
        <w:tc>
          <w:tcPr>
            <w:tcW w:w="8708" w:type="dxa"/>
          </w:tcPr>
          <w:p w:rsidR="00AA0136" w:rsidRDefault="00AA0136" w:rsidP="00AA0136">
            <w:pPr>
              <w:contextualSpacing/>
              <w:jc w:val="both"/>
              <w:rPr>
                <w:rFonts w:ascii="Calibri" w:eastAsia="Calibri" w:hAnsi="Calibri" w:cs="Times New Roman"/>
                <w:b/>
              </w:rPr>
            </w:pPr>
            <w:r w:rsidRPr="0060102F">
              <w:rPr>
                <w:rFonts w:ascii="Calibri" w:eastAsia="Calibri" w:hAnsi="Calibri" w:cs="Times New Roman"/>
                <w:b/>
              </w:rPr>
              <w:t>Digital Preservation and Archiving Policy</w:t>
            </w:r>
          </w:p>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6B64F2" w:rsidRDefault="00AA0136" w:rsidP="00AA0136">
            <w:pPr>
              <w:contextualSpacing/>
              <w:jc w:val="both"/>
              <w:rPr>
                <w:rFonts w:ascii="Calibri" w:eastAsia="Calibri" w:hAnsi="Calibri" w:cs="Times New Roman"/>
                <w:b/>
              </w:rPr>
            </w:pPr>
          </w:p>
        </w:tc>
        <w:tc>
          <w:tcPr>
            <w:tcW w:w="8708" w:type="dxa"/>
          </w:tcPr>
          <w:p w:rsidR="00AA0136" w:rsidRPr="00301FB0" w:rsidRDefault="00AA0136" w:rsidP="00AA0136">
            <w:pPr>
              <w:spacing w:after="0" w:line="240" w:lineRule="auto"/>
              <w:contextualSpacing/>
              <w:jc w:val="both"/>
              <w:rPr>
                <w:rFonts w:ascii="Calibri" w:eastAsia="Calibri" w:hAnsi="Calibri" w:cs="Times New Roman"/>
              </w:rPr>
            </w:pPr>
            <w:r>
              <w:rPr>
                <w:rFonts w:ascii="Calibri" w:eastAsia="Calibri" w:hAnsi="Calibri" w:cs="Times New Roman"/>
              </w:rPr>
              <w:t>S</w:t>
            </w:r>
            <w:r w:rsidRPr="00301FB0">
              <w:rPr>
                <w:rFonts w:ascii="Calibri" w:eastAsia="Calibri" w:hAnsi="Calibri" w:cs="Times New Roman"/>
              </w:rPr>
              <w:t>enate considered the Draft Digital Preservation and Archiving Policy, which had been developed to address gaps within existing policy.  Senate agreed to endorse the Digital Preservation and Archiving Policy for approval at Court on 21st June 2018 subject to references to the Data Protection A</w:t>
            </w:r>
            <w:r>
              <w:rPr>
                <w:rFonts w:ascii="Calibri" w:eastAsia="Calibri" w:hAnsi="Calibri" w:cs="Times New Roman"/>
              </w:rPr>
              <w:t>ct 1998 being updated to read “</w:t>
            </w:r>
            <w:r w:rsidRPr="00301FB0">
              <w:rPr>
                <w:rFonts w:ascii="Calibri" w:eastAsia="Calibri" w:hAnsi="Calibri" w:cs="Times New Roman"/>
              </w:rPr>
              <w:t>current</w:t>
            </w:r>
            <w:r>
              <w:rPr>
                <w:rFonts w:ascii="Calibri" w:eastAsia="Calibri" w:hAnsi="Calibri" w:cs="Times New Roman"/>
              </w:rPr>
              <w:t xml:space="preserve"> data protection legislation”.</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01FB0" w:rsidRDefault="00AA0136" w:rsidP="00AA0136">
            <w:pPr>
              <w:contextualSpacing/>
              <w:jc w:val="both"/>
              <w:rPr>
                <w:rFonts w:ascii="Calibri" w:eastAsia="Calibri" w:hAnsi="Calibri" w:cs="Times New Roman"/>
                <w:b/>
              </w:rPr>
            </w:pPr>
            <w:r>
              <w:rPr>
                <w:rFonts w:ascii="Calibri" w:eastAsia="Calibri" w:hAnsi="Calibri" w:cs="Times New Roman"/>
                <w:b/>
              </w:rPr>
              <w:t>9.</w:t>
            </w:r>
          </w:p>
        </w:tc>
        <w:tc>
          <w:tcPr>
            <w:tcW w:w="8708" w:type="dxa"/>
          </w:tcPr>
          <w:p w:rsidR="00AA0136" w:rsidRPr="00301FB0" w:rsidRDefault="00AA0136" w:rsidP="00AA0136">
            <w:pPr>
              <w:contextualSpacing/>
              <w:jc w:val="both"/>
              <w:rPr>
                <w:rFonts w:ascii="Calibri" w:eastAsia="Calibri" w:hAnsi="Calibri" w:cs="Times New Roman"/>
                <w:b/>
              </w:rPr>
            </w:pPr>
            <w:r w:rsidRPr="00301FB0">
              <w:rPr>
                <w:rFonts w:ascii="Calibri" w:eastAsia="Calibri" w:hAnsi="Calibri" w:cs="Times New Roman"/>
                <w:b/>
              </w:rPr>
              <w:t>Fitness to Study Policy</w:t>
            </w:r>
          </w:p>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ascii="Calibri" w:eastAsia="Calibri" w:hAnsi="Calibri" w:cs="Times New Roman"/>
              </w:rPr>
            </w:pPr>
            <w:r>
              <w:rPr>
                <w:rFonts w:ascii="Calibri" w:eastAsia="Calibri" w:hAnsi="Calibri" w:cs="Times New Roman"/>
              </w:rPr>
              <w:t>Senate approved the Fitness to Study Policy.</w:t>
            </w:r>
          </w:p>
          <w:p w:rsidR="00AA0136" w:rsidRDefault="00AA0136" w:rsidP="00AA0136">
            <w:pPr>
              <w:contextualSpacing/>
              <w:jc w:val="both"/>
              <w:rPr>
                <w:rFonts w:ascii="Calibri" w:eastAsia="Calibri" w:hAnsi="Calibri" w:cs="Times New Roman"/>
              </w:rPr>
            </w:pPr>
          </w:p>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 xml:space="preserve">The </w:t>
            </w:r>
            <w:r w:rsidRPr="00301FB0">
              <w:rPr>
                <w:rFonts w:ascii="Calibri" w:eastAsia="Calibri" w:hAnsi="Calibri" w:cs="Times New Roman"/>
              </w:rPr>
              <w:t>Director of Student Experience</w:t>
            </w:r>
            <w:r>
              <w:rPr>
                <w:rFonts w:ascii="Calibri" w:eastAsia="Calibri" w:hAnsi="Calibri" w:cs="Times New Roman"/>
              </w:rPr>
              <w:t xml:space="preserve"> advised Senate</w:t>
            </w:r>
            <w:r w:rsidRPr="00301FB0">
              <w:rPr>
                <w:rFonts w:ascii="Calibri" w:eastAsia="Calibri" w:hAnsi="Calibri" w:cs="Times New Roman"/>
              </w:rPr>
              <w:t xml:space="preserve"> that the purpose of the policy was to provide suitable and co-ordinated support to GCU students where a student’s health or wellbeing caused the University concern regarding the student’s fitness to study on a course.  The policy addressed a gap in policy provision and was underpinned by a duty of care to both students and staff.  It had been developed following extensive consultation, including SAGE.  Implementation of the policy would be monitored over 2018/19 and it would be reviewed at the end of the academic year.  Based on past experience, it was anticipated that the policy would only be used in a very small number of cases.</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01FB0" w:rsidRDefault="00AA0136" w:rsidP="00AA0136">
            <w:pPr>
              <w:contextualSpacing/>
              <w:jc w:val="both"/>
              <w:rPr>
                <w:rFonts w:ascii="Calibri" w:eastAsia="Calibri" w:hAnsi="Calibri" w:cs="Times New Roman"/>
                <w:b/>
              </w:rPr>
            </w:pPr>
            <w:r>
              <w:rPr>
                <w:rFonts w:ascii="Calibri" w:eastAsia="Calibri" w:hAnsi="Calibri" w:cs="Times New Roman"/>
                <w:b/>
              </w:rPr>
              <w:t>10.</w:t>
            </w:r>
          </w:p>
        </w:tc>
        <w:tc>
          <w:tcPr>
            <w:tcW w:w="8708" w:type="dxa"/>
          </w:tcPr>
          <w:p w:rsidR="00AA0136" w:rsidRDefault="00AA0136" w:rsidP="00AA0136">
            <w:pPr>
              <w:contextualSpacing/>
              <w:jc w:val="both"/>
              <w:rPr>
                <w:rFonts w:ascii="Calibri" w:eastAsia="Calibri" w:hAnsi="Calibri" w:cs="Times New Roman"/>
                <w:b/>
              </w:rPr>
            </w:pPr>
            <w:r w:rsidRPr="00301FB0">
              <w:rPr>
                <w:rFonts w:ascii="Calibri" w:eastAsia="Calibri" w:hAnsi="Calibri" w:cs="Times New Roman"/>
                <w:b/>
              </w:rPr>
              <w:t>Assessment Regulations Working Group (ARWG)</w:t>
            </w:r>
          </w:p>
          <w:p w:rsidR="00AA0136" w:rsidRDefault="00AA0136" w:rsidP="00AA0136">
            <w:pPr>
              <w:contextualSpacing/>
              <w:jc w:val="both"/>
              <w:rPr>
                <w:rFonts w:ascii="Calibri" w:eastAsia="Calibri" w:hAnsi="Calibri" w:cs="Times New Roman"/>
                <w:b/>
              </w:rPr>
            </w:pPr>
          </w:p>
          <w:p w:rsidR="00AA0136" w:rsidRDefault="00AA0136" w:rsidP="00AA0136">
            <w:pPr>
              <w:contextualSpacing/>
              <w:jc w:val="both"/>
              <w:rPr>
                <w:rFonts w:ascii="Calibri" w:eastAsia="Calibri" w:hAnsi="Calibri" w:cs="Times New Roman"/>
              </w:rPr>
            </w:pPr>
            <w:r w:rsidRPr="00301FB0">
              <w:rPr>
                <w:rFonts w:ascii="Calibri" w:eastAsia="Calibri" w:hAnsi="Calibri" w:cs="Times New Roman"/>
              </w:rPr>
              <w:t xml:space="preserve">Senate considered </w:t>
            </w:r>
            <w:r>
              <w:rPr>
                <w:rFonts w:ascii="Calibri" w:eastAsia="Calibri" w:hAnsi="Calibri" w:cs="Times New Roman"/>
              </w:rPr>
              <w:t>a number of recommendations from the Assessment Regulations Working Group</w:t>
            </w:r>
          </w:p>
          <w:p w:rsidR="00AA0136"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u w:val="single"/>
              </w:rPr>
            </w:pPr>
            <w:r w:rsidRPr="00F37535">
              <w:rPr>
                <w:rFonts w:ascii="Calibri" w:eastAsia="Calibri" w:hAnsi="Calibri" w:cs="Times New Roman"/>
                <w:u w:val="single"/>
              </w:rPr>
              <w:t>Threshold Minimum Marks</w:t>
            </w:r>
          </w:p>
          <w:p w:rsidR="00AA0136" w:rsidRPr="00F37535" w:rsidRDefault="00AA0136" w:rsidP="00AA0136">
            <w:pPr>
              <w:contextualSpacing/>
              <w:jc w:val="both"/>
              <w:rPr>
                <w:rFonts w:ascii="Calibri" w:eastAsia="Calibri" w:hAnsi="Calibri" w:cs="Times New Roman"/>
                <w:u w:val="single"/>
              </w:rPr>
            </w:pPr>
          </w:p>
          <w:p w:rsidR="00AA0136"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Further to the decision at Senate on 16th March 2018 that threshold minimum marks be introduced and that an incremental approach be taken with threshold minimum marks to be </w:t>
            </w:r>
            <w:r w:rsidRPr="00F37535">
              <w:rPr>
                <w:rFonts w:ascii="Calibri" w:eastAsia="Calibri" w:hAnsi="Calibri" w:cs="Times New Roman"/>
              </w:rPr>
              <w:lastRenderedPageBreak/>
              <w:t xml:space="preserve">introduced for new students only from the 2018/19 session at level 1 and level M, the Academic Registrar had been working with Information Services in order to ensure that module changes were completed by the end of June 2018. A process for exemptions from threshold minimum marks was being developed by the Academic Registrar and ADLTQs. Guidance for students would be developed to clearly state that for those modules with Professional Statutory and Regulatory body requirements which already have minimum </w:t>
            </w:r>
            <w:proofErr w:type="gramStart"/>
            <w:r w:rsidRPr="00F37535">
              <w:rPr>
                <w:rFonts w:ascii="Calibri" w:eastAsia="Calibri" w:hAnsi="Calibri" w:cs="Times New Roman"/>
              </w:rPr>
              <w:t>thresholds,</w:t>
            </w:r>
            <w:proofErr w:type="gramEnd"/>
            <w:r w:rsidRPr="00F37535">
              <w:rPr>
                <w:rFonts w:ascii="Calibri" w:eastAsia="Calibri" w:hAnsi="Calibri" w:cs="Times New Roman"/>
              </w:rPr>
              <w:t xml:space="preserve"> there would be no change to the existing threshold.</w:t>
            </w:r>
          </w:p>
          <w:p w:rsidR="00AA0136"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u w:val="single"/>
              </w:rPr>
            </w:pPr>
            <w:r w:rsidRPr="00F37535">
              <w:rPr>
                <w:rFonts w:ascii="Calibri" w:eastAsia="Calibri" w:hAnsi="Calibri" w:cs="Times New Roman"/>
                <w:u w:val="single"/>
              </w:rPr>
              <w:t>Generic Award Titles</w:t>
            </w:r>
          </w:p>
          <w:p w:rsidR="00AA0136" w:rsidRPr="00F37535"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rPr>
            </w:pPr>
            <w:r>
              <w:rPr>
                <w:rFonts w:ascii="Calibri" w:eastAsia="Calibri" w:hAnsi="Calibri" w:cs="Times New Roman"/>
              </w:rPr>
              <w:t>Senate approved the following generic award titles:</w:t>
            </w:r>
          </w:p>
          <w:p w:rsidR="00AA0136" w:rsidRPr="00F37535"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i/>
              </w:rPr>
            </w:pPr>
            <w:r w:rsidRPr="00F37535">
              <w:rPr>
                <w:rFonts w:ascii="Calibri" w:eastAsia="Calibri" w:hAnsi="Calibri" w:cs="Times New Roman"/>
                <w:i/>
              </w:rPr>
              <w:t xml:space="preserve">Engineering and Built Environment </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BA/BA (Hons)/BSc/BSc (Hons) Technology (Design) </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BA/BA (Hons)/BSc/BSc (Hons) Technology (Computing) </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BA/BA (Hons)/BSc/BSc (Hons) Technology (Built Environment) </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BA/BA (Hons)/BSc/BSc (Hons) Technology (Engineering) </w:t>
            </w:r>
          </w:p>
          <w:p w:rsidR="00AA0136" w:rsidRPr="00F37535"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i/>
              </w:rPr>
            </w:pPr>
            <w:r w:rsidRPr="00F37535">
              <w:rPr>
                <w:rFonts w:ascii="Calibri" w:eastAsia="Calibri" w:hAnsi="Calibri" w:cs="Times New Roman"/>
                <w:i/>
              </w:rPr>
              <w:t xml:space="preserve">Glasgow School of Business and Society </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BA/BA (Hons) General Busines</w:t>
            </w:r>
            <w:r>
              <w:rPr>
                <w:rFonts w:ascii="Calibri" w:eastAsia="Calibri" w:hAnsi="Calibri" w:cs="Times New Roman"/>
              </w:rPr>
              <w:t>s</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BA/BA (Hons) Social Studies</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MSc General Business (PG) </w:t>
            </w:r>
          </w:p>
          <w:p w:rsidR="00AA0136" w:rsidRPr="00F37535"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S</w:t>
            </w:r>
            <w:r w:rsidRPr="00F37535">
              <w:rPr>
                <w:rFonts w:ascii="Calibri" w:eastAsia="Calibri" w:hAnsi="Calibri" w:cs="Times New Roman"/>
                <w:i/>
              </w:rPr>
              <w:t>chool of Health and Life Science</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BSc/BSc (Hons) Health and Social</w:t>
            </w:r>
          </w:p>
          <w:p w:rsidR="00AA0136" w:rsidRPr="00F37535"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BSc/BSc (Hons) Life Sciences MSc Life Sciences (PG) </w:t>
            </w:r>
          </w:p>
          <w:p w:rsidR="00AA0136" w:rsidRPr="00F37535"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sidRPr="00F37535">
              <w:rPr>
                <w:rFonts w:ascii="Calibri" w:eastAsia="Calibri" w:hAnsi="Calibri" w:cs="Times New Roman"/>
              </w:rPr>
              <w:t xml:space="preserve">Nursing and Community Health </w:t>
            </w:r>
            <w:r>
              <w:rPr>
                <w:rFonts w:ascii="Calibri" w:eastAsia="Calibri" w:hAnsi="Calibri" w:cs="Times New Roman"/>
              </w:rPr>
              <w:t xml:space="preserve">will </w:t>
            </w:r>
            <w:r w:rsidRPr="00F37535">
              <w:rPr>
                <w:rFonts w:ascii="Calibri" w:eastAsia="Calibri" w:hAnsi="Calibri" w:cs="Times New Roman"/>
              </w:rPr>
              <w:t>use unnamed University awards.</w:t>
            </w:r>
          </w:p>
          <w:p w:rsidR="00AA0136" w:rsidRDefault="00AA0136" w:rsidP="00AA0136">
            <w:pPr>
              <w:contextualSpacing/>
              <w:jc w:val="both"/>
              <w:rPr>
                <w:rFonts w:ascii="Calibri" w:eastAsia="Calibri" w:hAnsi="Calibri" w:cs="Times New Roman"/>
              </w:rPr>
            </w:pPr>
          </w:p>
          <w:p w:rsidR="00AA0136" w:rsidRPr="00F37535" w:rsidRDefault="00AA0136" w:rsidP="00AA0136">
            <w:pPr>
              <w:contextualSpacing/>
              <w:jc w:val="both"/>
              <w:rPr>
                <w:rFonts w:ascii="Calibri" w:eastAsia="Calibri" w:hAnsi="Calibri" w:cs="Times New Roman"/>
                <w:u w:val="single"/>
              </w:rPr>
            </w:pPr>
            <w:r w:rsidRPr="00F37535">
              <w:rPr>
                <w:rFonts w:ascii="Calibri" w:eastAsia="Calibri" w:hAnsi="Calibri" w:cs="Times New Roman"/>
                <w:u w:val="single"/>
              </w:rPr>
              <w:t>Applicability of Assessment Regulations for non-standard start dates</w:t>
            </w:r>
          </w:p>
          <w:p w:rsidR="00AA0136" w:rsidRPr="00F37535"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Pr>
                <w:rFonts w:ascii="Calibri" w:eastAsia="Calibri" w:hAnsi="Calibri" w:cs="Times New Roman"/>
              </w:rPr>
              <w:t>It was noted that t</w:t>
            </w:r>
            <w:r w:rsidRPr="00F37535">
              <w:rPr>
                <w:rFonts w:ascii="Calibri" w:eastAsia="Calibri" w:hAnsi="Calibri" w:cs="Times New Roman"/>
              </w:rPr>
              <w:t>he Academic Registrar had convened a task and finish group focused upon proposals for flexible resubmission/resits.  The outcomes of the task and finish group had been shared with the Assessment Regulations Working Group which supported the direction of travel and was now under consideration by APPC.</w:t>
            </w:r>
          </w:p>
          <w:p w:rsidR="00AA0136" w:rsidRDefault="00AA0136" w:rsidP="00AA0136">
            <w:pPr>
              <w:tabs>
                <w:tab w:val="left" w:pos="1752"/>
              </w:tabs>
              <w:contextualSpacing/>
              <w:jc w:val="both"/>
              <w:rPr>
                <w:rFonts w:ascii="Calibri" w:eastAsia="Calibri" w:hAnsi="Calibri" w:cs="Times New Roman"/>
              </w:rPr>
            </w:pPr>
            <w:r>
              <w:rPr>
                <w:rFonts w:ascii="Calibri" w:eastAsia="Calibri" w:hAnsi="Calibri" w:cs="Times New Roman"/>
              </w:rPr>
              <w:tab/>
            </w:r>
          </w:p>
          <w:p w:rsidR="00AA0136" w:rsidRPr="00612860" w:rsidRDefault="00AA0136" w:rsidP="00AA0136">
            <w:pPr>
              <w:contextualSpacing/>
              <w:jc w:val="both"/>
              <w:rPr>
                <w:rFonts w:ascii="Calibri" w:eastAsia="Calibri" w:hAnsi="Calibri" w:cs="Times New Roman"/>
                <w:u w:val="single"/>
              </w:rPr>
            </w:pPr>
            <w:r w:rsidRPr="00612860">
              <w:rPr>
                <w:rFonts w:ascii="Calibri" w:eastAsia="Calibri" w:hAnsi="Calibri" w:cs="Times New Roman"/>
                <w:u w:val="single"/>
              </w:rPr>
              <w:t>Operation of Assessment Boards</w:t>
            </w:r>
          </w:p>
          <w:p w:rsidR="00AA0136" w:rsidRPr="00612860" w:rsidRDefault="00AA0136" w:rsidP="00AA0136">
            <w:pPr>
              <w:contextualSpacing/>
              <w:jc w:val="both"/>
              <w:rPr>
                <w:rFonts w:ascii="Calibri" w:eastAsia="Calibri" w:hAnsi="Calibri" w:cs="Times New Roman"/>
              </w:rPr>
            </w:pP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At the last meeting</w:t>
            </w:r>
            <w:r>
              <w:rPr>
                <w:rFonts w:ascii="Calibri" w:eastAsia="Calibri" w:hAnsi="Calibri" w:cs="Times New Roman"/>
              </w:rPr>
              <w:t xml:space="preserve">, Senate </w:t>
            </w:r>
            <w:r w:rsidRPr="00612860">
              <w:rPr>
                <w:rFonts w:ascii="Calibri" w:eastAsia="Calibri" w:hAnsi="Calibri" w:cs="Times New Roman"/>
              </w:rPr>
              <w:t>approved administrative changes to the conduct of Pre-Assessment Boards and Assessment Boards subject to the following:</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a)</w:t>
            </w:r>
            <w:r w:rsidRPr="00612860">
              <w:rPr>
                <w:rFonts w:ascii="Calibri" w:eastAsia="Calibri" w:hAnsi="Calibri" w:cs="Times New Roman"/>
              </w:rPr>
              <w:tab/>
              <w:t>That quoracy of 70% (excluding External Examiners) be a requirement of Pre-Assessment Boards</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b)</w:t>
            </w:r>
            <w:r w:rsidRPr="00612860">
              <w:rPr>
                <w:rFonts w:ascii="Calibri" w:eastAsia="Calibri" w:hAnsi="Calibri" w:cs="Times New Roman"/>
              </w:rPr>
              <w:tab/>
              <w:t>That the guidance specifically states that when names are read out, those students eligible for merit and distinction are highlighted.</w:t>
            </w:r>
          </w:p>
          <w:p w:rsidR="00AA0136" w:rsidRPr="00612860" w:rsidRDefault="00AA0136" w:rsidP="00AA0136">
            <w:pPr>
              <w:contextualSpacing/>
              <w:jc w:val="both"/>
              <w:rPr>
                <w:rFonts w:ascii="Calibri" w:eastAsia="Calibri" w:hAnsi="Calibri" w:cs="Times New Roman"/>
              </w:rPr>
            </w:pP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The Academic Registrar will update the Terms and Reference and Standard Operations of Assessment Boards to reflect these administrative changes.</w:t>
            </w:r>
          </w:p>
          <w:p w:rsidR="00AA0136" w:rsidRDefault="00AA0136" w:rsidP="00AA0136">
            <w:pPr>
              <w:contextualSpacing/>
              <w:jc w:val="both"/>
              <w:rPr>
                <w:rFonts w:ascii="Calibri" w:eastAsia="Calibri" w:hAnsi="Calibri" w:cs="Times New Roman"/>
              </w:rPr>
            </w:pPr>
          </w:p>
          <w:p w:rsidR="00AA0136" w:rsidRPr="00612860" w:rsidRDefault="00AA0136" w:rsidP="00AA0136">
            <w:pPr>
              <w:contextualSpacing/>
              <w:jc w:val="both"/>
              <w:rPr>
                <w:rFonts w:ascii="Calibri" w:eastAsia="Calibri" w:hAnsi="Calibri" w:cs="Times New Roman"/>
                <w:u w:val="single"/>
              </w:rPr>
            </w:pPr>
            <w:r w:rsidRPr="00612860">
              <w:rPr>
                <w:rFonts w:ascii="Calibri" w:eastAsia="Calibri" w:hAnsi="Calibri" w:cs="Times New Roman"/>
                <w:u w:val="single"/>
              </w:rPr>
              <w:lastRenderedPageBreak/>
              <w:t>Policy on Project and Dissertation Supervision</w:t>
            </w:r>
          </w:p>
          <w:p w:rsidR="00AA0136" w:rsidRPr="00612860"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sidRPr="00612860">
              <w:rPr>
                <w:rFonts w:ascii="Calibri" w:eastAsia="Calibri" w:hAnsi="Calibri" w:cs="Times New Roman"/>
              </w:rPr>
              <w:t xml:space="preserve">It was reported by the Chair of the Assessment Regulations Working Group that a sector review had revealed that the approach to project and dissertation supervision varied depending on the needs and requirements of different disciplines and this approach was reflected within the University. In recognising this, it was recommended that a policy should set a minimum number of contact points for supervision, rather than specified contact hours.  It was acknowledged however that disciplines involving bench or lab </w:t>
            </w:r>
            <w:proofErr w:type="gramStart"/>
            <w:r w:rsidRPr="00612860">
              <w:rPr>
                <w:rFonts w:ascii="Calibri" w:eastAsia="Calibri" w:hAnsi="Calibri" w:cs="Times New Roman"/>
              </w:rPr>
              <w:t>work,</w:t>
            </w:r>
            <w:proofErr w:type="gramEnd"/>
            <w:r w:rsidRPr="00612860">
              <w:rPr>
                <w:rFonts w:ascii="Calibri" w:eastAsia="Calibri" w:hAnsi="Calibri" w:cs="Times New Roman"/>
              </w:rPr>
              <w:t xml:space="preserve"> would require additional contacts and project and dissertation handbooks should provide additional specificity over and above the minimum requirements.     Additionally, supervision should take place every two weeks for dissertations that run over the course of one Trimester, and every three weeks for dissertations that take place over the course or two Trimesters.</w:t>
            </w:r>
          </w:p>
          <w:p w:rsidR="00AA0136" w:rsidRDefault="00AA0136" w:rsidP="00AA0136">
            <w:pPr>
              <w:contextualSpacing/>
              <w:jc w:val="both"/>
              <w:rPr>
                <w:rFonts w:ascii="Calibri" w:eastAsia="Calibri" w:hAnsi="Calibri" w:cs="Times New Roman"/>
              </w:rPr>
            </w:pPr>
          </w:p>
          <w:p w:rsidR="00AA0136" w:rsidRDefault="00AA0136" w:rsidP="00AA0136">
            <w:pPr>
              <w:contextualSpacing/>
              <w:jc w:val="both"/>
              <w:rPr>
                <w:rFonts w:ascii="Calibri" w:eastAsia="Calibri" w:hAnsi="Calibri" w:cs="Times New Roman"/>
              </w:rPr>
            </w:pPr>
            <w:r>
              <w:rPr>
                <w:rFonts w:ascii="Calibri" w:eastAsia="Calibri" w:hAnsi="Calibri" w:cs="Times New Roman"/>
              </w:rPr>
              <w:t>Senate approved the revised Policy on Project and Dissertation Supervision taking account of the changes detailed above and agreed that a clear c</w:t>
            </w:r>
            <w:r w:rsidRPr="00612860">
              <w:rPr>
                <w:rFonts w:ascii="Calibri" w:eastAsia="Calibri" w:hAnsi="Calibri" w:cs="Times New Roman"/>
              </w:rPr>
              <w:t xml:space="preserve">ommunication strategy be </w:t>
            </w:r>
            <w:proofErr w:type="gramStart"/>
            <w:r w:rsidRPr="00612860">
              <w:rPr>
                <w:rFonts w:ascii="Calibri" w:eastAsia="Calibri" w:hAnsi="Calibri" w:cs="Times New Roman"/>
              </w:rPr>
              <w:t>implemented</w:t>
            </w:r>
            <w:r>
              <w:rPr>
                <w:rFonts w:ascii="Calibri" w:eastAsia="Calibri" w:hAnsi="Calibri" w:cs="Times New Roman"/>
              </w:rPr>
              <w:t xml:space="preserve"> </w:t>
            </w:r>
            <w:r w:rsidRPr="00612860">
              <w:rPr>
                <w:rFonts w:ascii="Calibri" w:eastAsia="Calibri" w:hAnsi="Calibri" w:cs="Times New Roman"/>
              </w:rPr>
              <w:t xml:space="preserve"> to</w:t>
            </w:r>
            <w:proofErr w:type="gramEnd"/>
            <w:r w:rsidRPr="00612860">
              <w:rPr>
                <w:rFonts w:ascii="Calibri" w:eastAsia="Calibri" w:hAnsi="Calibri" w:cs="Times New Roman"/>
              </w:rPr>
              <w:t xml:space="preserve"> inform students of the revised policy and process</w:t>
            </w:r>
            <w:r>
              <w:rPr>
                <w:rFonts w:ascii="Calibri" w:eastAsia="Calibri" w:hAnsi="Calibri" w:cs="Times New Roman"/>
              </w:rPr>
              <w:t>.</w:t>
            </w:r>
          </w:p>
          <w:p w:rsidR="00AA0136" w:rsidRDefault="00AA0136" w:rsidP="00AA0136">
            <w:pPr>
              <w:contextualSpacing/>
              <w:jc w:val="both"/>
              <w:rPr>
                <w:rFonts w:ascii="Calibri" w:eastAsia="Calibri" w:hAnsi="Calibri" w:cs="Times New Roman"/>
              </w:rPr>
            </w:pPr>
          </w:p>
          <w:p w:rsidR="00AA0136" w:rsidRPr="00612860" w:rsidRDefault="00AA0136" w:rsidP="00AA0136">
            <w:pPr>
              <w:contextualSpacing/>
              <w:jc w:val="both"/>
              <w:rPr>
                <w:rFonts w:ascii="Calibri" w:eastAsia="Calibri" w:hAnsi="Calibri" w:cs="Times New Roman"/>
                <w:u w:val="single"/>
              </w:rPr>
            </w:pPr>
            <w:r w:rsidRPr="00612860">
              <w:rPr>
                <w:rFonts w:ascii="Calibri" w:eastAsia="Calibri" w:hAnsi="Calibri" w:cs="Times New Roman"/>
                <w:u w:val="single"/>
              </w:rPr>
              <w:t>Assessment Preparation Guidance for Academic Staff</w:t>
            </w:r>
          </w:p>
          <w:p w:rsidR="00AA0136" w:rsidRPr="00612860" w:rsidRDefault="00AA0136" w:rsidP="00AA0136">
            <w:pPr>
              <w:contextualSpacing/>
              <w:jc w:val="both"/>
              <w:rPr>
                <w:rFonts w:ascii="Calibri" w:eastAsia="Calibri" w:hAnsi="Calibri" w:cs="Times New Roman"/>
              </w:rPr>
            </w:pPr>
          </w:p>
          <w:p w:rsidR="00AA0136" w:rsidRPr="00612860" w:rsidRDefault="00AA0136" w:rsidP="00AA0136">
            <w:pPr>
              <w:contextualSpacing/>
              <w:jc w:val="both"/>
              <w:rPr>
                <w:rFonts w:ascii="Calibri" w:eastAsia="Calibri" w:hAnsi="Calibri" w:cs="Times New Roman"/>
              </w:rPr>
            </w:pPr>
            <w:r>
              <w:rPr>
                <w:rFonts w:ascii="Calibri" w:eastAsia="Calibri" w:hAnsi="Calibri" w:cs="Times New Roman"/>
              </w:rPr>
              <w:t>Senate approved t</w:t>
            </w:r>
            <w:r w:rsidRPr="00612860">
              <w:rPr>
                <w:rFonts w:ascii="Calibri" w:eastAsia="Calibri" w:hAnsi="Calibri" w:cs="Times New Roman"/>
              </w:rPr>
              <w:t>he following amendments</w:t>
            </w:r>
            <w:r>
              <w:rPr>
                <w:rFonts w:ascii="Calibri" w:eastAsia="Calibri" w:hAnsi="Calibri" w:cs="Times New Roman"/>
              </w:rPr>
              <w:t xml:space="preserve"> </w:t>
            </w:r>
            <w:r w:rsidRPr="00612860">
              <w:rPr>
                <w:rFonts w:ascii="Calibri" w:eastAsia="Calibri" w:hAnsi="Calibri" w:cs="Times New Roman"/>
              </w:rPr>
              <w:t xml:space="preserve">to the Assessment Preparation </w:t>
            </w:r>
            <w:r>
              <w:rPr>
                <w:rFonts w:ascii="Calibri" w:eastAsia="Calibri" w:hAnsi="Calibri" w:cs="Times New Roman"/>
              </w:rPr>
              <w:t xml:space="preserve">Guidance for Academic Staff </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a)</w:t>
            </w:r>
            <w:r w:rsidRPr="00612860">
              <w:rPr>
                <w:rFonts w:ascii="Calibri" w:eastAsia="Calibri" w:hAnsi="Calibri" w:cs="Times New Roman"/>
              </w:rPr>
              <w:tab/>
              <w:t>Signposting of existing Digital Assessment policy in guidance</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b)</w:t>
            </w:r>
            <w:r w:rsidRPr="00612860">
              <w:rPr>
                <w:rFonts w:ascii="Calibri" w:eastAsia="Calibri" w:hAnsi="Calibri" w:cs="Times New Roman"/>
              </w:rPr>
              <w:tab/>
              <w:t>Change word ‘count’ to word ‘limit”</w:t>
            </w:r>
          </w:p>
          <w:p w:rsidR="00AA0136" w:rsidRDefault="00AA0136" w:rsidP="00AA0136">
            <w:pPr>
              <w:contextualSpacing/>
              <w:jc w:val="both"/>
              <w:rPr>
                <w:rFonts w:ascii="Calibri" w:eastAsia="Calibri" w:hAnsi="Calibri" w:cs="Times New Roman"/>
              </w:rPr>
            </w:pPr>
            <w:r w:rsidRPr="00612860">
              <w:rPr>
                <w:rFonts w:ascii="Calibri" w:eastAsia="Calibri" w:hAnsi="Calibri" w:cs="Times New Roman"/>
              </w:rPr>
              <w:t>c)</w:t>
            </w:r>
            <w:r w:rsidRPr="00612860">
              <w:rPr>
                <w:rFonts w:ascii="Calibri" w:eastAsia="Calibri" w:hAnsi="Calibri" w:cs="Times New Roman"/>
              </w:rPr>
              <w:tab/>
              <w:t xml:space="preserve">That the guidance </w:t>
            </w:r>
            <w:proofErr w:type="gramStart"/>
            <w:r w:rsidRPr="00612860">
              <w:rPr>
                <w:rFonts w:ascii="Calibri" w:eastAsia="Calibri" w:hAnsi="Calibri" w:cs="Times New Roman"/>
              </w:rPr>
              <w:t>remain</w:t>
            </w:r>
            <w:proofErr w:type="gramEnd"/>
            <w:r w:rsidRPr="00612860">
              <w:rPr>
                <w:rFonts w:ascii="Calibri" w:eastAsia="Calibri" w:hAnsi="Calibri" w:cs="Times New Roman"/>
              </w:rPr>
              <w:t xml:space="preserve"> as guidance.</w:t>
            </w:r>
          </w:p>
          <w:p w:rsidR="00AA0136" w:rsidRDefault="00AA0136" w:rsidP="00AA0136">
            <w:pPr>
              <w:contextualSpacing/>
              <w:jc w:val="both"/>
              <w:rPr>
                <w:rFonts w:ascii="Calibri" w:eastAsia="Calibri" w:hAnsi="Calibri" w:cs="Times New Roman"/>
              </w:rPr>
            </w:pPr>
          </w:p>
          <w:p w:rsidR="00AA0136" w:rsidRPr="00977948" w:rsidRDefault="00AA0136" w:rsidP="00AA0136">
            <w:pPr>
              <w:ind w:firstLine="27"/>
              <w:contextualSpacing/>
              <w:jc w:val="both"/>
              <w:rPr>
                <w:rFonts w:ascii="Calibri" w:eastAsia="Calibri" w:hAnsi="Calibri" w:cs="Calibri"/>
                <w:u w:val="single"/>
              </w:rPr>
            </w:pPr>
            <w:r w:rsidRPr="00977948">
              <w:rPr>
                <w:rFonts w:ascii="Calibri" w:eastAsia="Calibri" w:hAnsi="Calibri" w:cs="Calibri"/>
                <w:u w:val="single"/>
              </w:rPr>
              <w:t>Assessment Regulations Working Group 2018/19 Work Plan</w:t>
            </w:r>
          </w:p>
          <w:p w:rsidR="00AA0136" w:rsidRDefault="00AA0136" w:rsidP="00AA0136">
            <w:pPr>
              <w:contextualSpacing/>
              <w:jc w:val="both"/>
              <w:rPr>
                <w:rFonts w:ascii="Calibri" w:eastAsia="Calibri" w:hAnsi="Calibri" w:cs="Calibri"/>
              </w:rPr>
            </w:pPr>
          </w:p>
          <w:p w:rsidR="00AA0136" w:rsidRDefault="00AA0136" w:rsidP="00AA0136">
            <w:pPr>
              <w:contextualSpacing/>
              <w:jc w:val="both"/>
              <w:rPr>
                <w:rFonts w:ascii="Calibri" w:eastAsia="Calibri" w:hAnsi="Calibri" w:cs="Calibri"/>
              </w:rPr>
            </w:pPr>
            <w:r>
              <w:rPr>
                <w:rFonts w:ascii="Calibri" w:eastAsia="Calibri" w:hAnsi="Calibri" w:cs="Calibri"/>
              </w:rPr>
              <w:t>The undernoted ARWG workplan for 2018/19 was approved:</w:t>
            </w:r>
          </w:p>
          <w:p w:rsidR="00AA0136" w:rsidRDefault="00AA0136" w:rsidP="00AA0136">
            <w:pPr>
              <w:ind w:firstLine="27"/>
              <w:contextualSpacing/>
              <w:jc w:val="both"/>
              <w:rPr>
                <w:rFonts w:ascii="Calibri" w:eastAsia="Calibri" w:hAnsi="Calibri" w:cs="Calibri"/>
              </w:rPr>
            </w:pPr>
          </w:p>
          <w:p w:rsidR="00AA0136" w:rsidRPr="00977948" w:rsidRDefault="00AA0136" w:rsidP="00AA0136">
            <w:pPr>
              <w:pStyle w:val="ListParagraph"/>
              <w:numPr>
                <w:ilvl w:val="0"/>
                <w:numId w:val="5"/>
              </w:numPr>
              <w:contextualSpacing/>
              <w:jc w:val="both"/>
              <w:rPr>
                <w:lang w:eastAsia="en-US"/>
              </w:rPr>
            </w:pPr>
            <w:r w:rsidRPr="00977948">
              <w:rPr>
                <w:lang w:eastAsia="en-US"/>
              </w:rPr>
              <w:t>Consideration of resit/submission processes for non-standard starts</w:t>
            </w:r>
          </w:p>
          <w:p w:rsidR="00AA0136" w:rsidRPr="00977948" w:rsidRDefault="00AA0136" w:rsidP="00AA0136">
            <w:pPr>
              <w:pStyle w:val="ListParagraph"/>
              <w:numPr>
                <w:ilvl w:val="0"/>
                <w:numId w:val="5"/>
              </w:numPr>
              <w:contextualSpacing/>
              <w:jc w:val="both"/>
              <w:rPr>
                <w:lang w:eastAsia="en-US"/>
              </w:rPr>
            </w:pPr>
            <w:r w:rsidRPr="00977948">
              <w:rPr>
                <w:lang w:eastAsia="en-US"/>
              </w:rPr>
              <w:t>To consider current GCU feedback principles and applicability for Project and Dissertation submissions.</w:t>
            </w:r>
          </w:p>
          <w:p w:rsidR="00AA0136" w:rsidRPr="00977948" w:rsidRDefault="00AA0136" w:rsidP="00AA0136">
            <w:pPr>
              <w:pStyle w:val="ListParagraph"/>
              <w:numPr>
                <w:ilvl w:val="0"/>
                <w:numId w:val="5"/>
              </w:numPr>
              <w:contextualSpacing/>
              <w:jc w:val="both"/>
              <w:rPr>
                <w:lang w:eastAsia="en-US"/>
              </w:rPr>
            </w:pPr>
            <w:r w:rsidRPr="00977948">
              <w:rPr>
                <w:lang w:eastAsia="en-US"/>
              </w:rPr>
              <w:t>Analysis of Honours Profiling.</w:t>
            </w:r>
          </w:p>
          <w:p w:rsidR="00AA0136" w:rsidRPr="00977948" w:rsidRDefault="00AA0136" w:rsidP="00AA0136">
            <w:pPr>
              <w:pStyle w:val="ListParagraph"/>
              <w:numPr>
                <w:ilvl w:val="0"/>
                <w:numId w:val="5"/>
              </w:numPr>
              <w:contextualSpacing/>
              <w:jc w:val="both"/>
              <w:rPr>
                <w:lang w:eastAsia="en-US"/>
              </w:rPr>
            </w:pPr>
            <w:r w:rsidRPr="00977948">
              <w:rPr>
                <w:lang w:eastAsia="en-US"/>
              </w:rPr>
              <w:t>Grade Point Average (GPA) review.</w:t>
            </w:r>
          </w:p>
          <w:p w:rsidR="00AA0136" w:rsidRPr="00977948" w:rsidRDefault="00AA0136" w:rsidP="00AA0136">
            <w:pPr>
              <w:pStyle w:val="ListParagraph"/>
              <w:numPr>
                <w:ilvl w:val="0"/>
                <w:numId w:val="5"/>
              </w:numPr>
              <w:contextualSpacing/>
              <w:jc w:val="both"/>
              <w:rPr>
                <w:lang w:eastAsia="en-US"/>
              </w:rPr>
            </w:pPr>
            <w:r w:rsidRPr="00977948">
              <w:rPr>
                <w:lang w:eastAsia="en-US"/>
              </w:rPr>
              <w:t>To consider update the regulations for the appointment of External Examiners to state that an industry expert must be paired with academic expert and that a programme must not appoint two industry experts.</w:t>
            </w:r>
          </w:p>
          <w:p w:rsidR="00AA0136" w:rsidRPr="00977948" w:rsidRDefault="00AA0136" w:rsidP="00AA0136">
            <w:pPr>
              <w:pStyle w:val="ListParagraph"/>
              <w:numPr>
                <w:ilvl w:val="0"/>
                <w:numId w:val="5"/>
              </w:numPr>
              <w:contextualSpacing/>
              <w:jc w:val="both"/>
              <w:rPr>
                <w:lang w:eastAsia="en-US"/>
              </w:rPr>
            </w:pPr>
            <w:r w:rsidRPr="00977948">
              <w:rPr>
                <w:lang w:eastAsia="en-US"/>
              </w:rPr>
              <w:t>Clarity around the criteria for Generic Awards for both staff and students</w:t>
            </w:r>
          </w:p>
          <w:p w:rsidR="00AA0136" w:rsidRPr="00977948" w:rsidRDefault="00AA0136" w:rsidP="00AA0136">
            <w:pPr>
              <w:pStyle w:val="ListParagraph"/>
              <w:numPr>
                <w:ilvl w:val="0"/>
                <w:numId w:val="5"/>
              </w:numPr>
              <w:contextualSpacing/>
              <w:jc w:val="both"/>
              <w:rPr>
                <w:lang w:eastAsia="en-US"/>
              </w:rPr>
            </w:pPr>
            <w:r w:rsidRPr="00977948">
              <w:rPr>
                <w:lang w:eastAsia="en-US"/>
              </w:rPr>
              <w:t>To consider updating the Assessment Regulations to require that all students successfully complete all SCQF level 9 modules prior to entering honours project.</w:t>
            </w:r>
          </w:p>
          <w:p w:rsidR="00AA0136" w:rsidRDefault="00AA0136" w:rsidP="00AA0136">
            <w:pPr>
              <w:contextualSpacing/>
              <w:jc w:val="both"/>
              <w:rPr>
                <w:rFonts w:ascii="Calibri" w:eastAsia="Calibri" w:hAnsi="Calibri" w:cs="Calibri"/>
              </w:rPr>
            </w:pPr>
            <w:r w:rsidRPr="00977948">
              <w:rPr>
                <w:rFonts w:ascii="Calibri" w:eastAsia="Calibri" w:hAnsi="Calibri" w:cs="Calibri"/>
              </w:rPr>
              <w:t>Review of Assessment Regulations consistency with Recognition of Prior Learning (RPL) guidelines with particular reference to the calculation of merit and distinction.</w:t>
            </w:r>
          </w:p>
          <w:p w:rsidR="00AA0136" w:rsidRDefault="00AA0136" w:rsidP="00AA0136">
            <w:pPr>
              <w:contextualSpacing/>
              <w:jc w:val="both"/>
              <w:rPr>
                <w:rFonts w:ascii="Calibri" w:eastAsia="Calibri" w:hAnsi="Calibri" w:cs="Calibri"/>
              </w:rPr>
            </w:pPr>
          </w:p>
          <w:p w:rsidR="00AA0136" w:rsidRPr="00301FB0" w:rsidRDefault="00AA0136" w:rsidP="00AA0136">
            <w:pPr>
              <w:contextualSpacing/>
              <w:jc w:val="both"/>
              <w:rPr>
                <w:rFonts w:ascii="Calibri" w:eastAsia="Calibri" w:hAnsi="Calibri" w:cs="Times New Roman"/>
              </w:rPr>
            </w:pPr>
            <w:r>
              <w:rPr>
                <w:rFonts w:ascii="Calibri" w:eastAsia="Calibri" w:hAnsi="Calibri" w:cs="Times New Roman"/>
              </w:rPr>
              <w:t>Senate</w:t>
            </w:r>
            <w:r w:rsidRPr="00612860">
              <w:rPr>
                <w:rFonts w:ascii="Calibri" w:eastAsia="Calibri" w:hAnsi="Calibri" w:cs="Times New Roman"/>
              </w:rPr>
              <w:t xml:space="preserve"> thank</w:t>
            </w:r>
            <w:r>
              <w:rPr>
                <w:rFonts w:ascii="Calibri" w:eastAsia="Calibri" w:hAnsi="Calibri" w:cs="Times New Roman"/>
              </w:rPr>
              <w:t>ed</w:t>
            </w:r>
            <w:r w:rsidRPr="00612860">
              <w:rPr>
                <w:rFonts w:ascii="Calibri" w:eastAsia="Calibri" w:hAnsi="Calibri" w:cs="Times New Roman"/>
              </w:rPr>
              <w:t xml:space="preserve"> the Chair and members of the Assessment Regulations Working Group for the considerable amount of </w:t>
            </w:r>
            <w:r>
              <w:rPr>
                <w:rFonts w:ascii="Calibri" w:eastAsia="Calibri" w:hAnsi="Calibri" w:cs="Times New Roman"/>
              </w:rPr>
              <w:t>work undertaken by the Group in</w:t>
            </w:r>
            <w:r w:rsidRPr="00612860">
              <w:rPr>
                <w:rFonts w:ascii="Calibri" w:eastAsia="Calibri" w:hAnsi="Calibri" w:cs="Times New Roman"/>
              </w:rPr>
              <w:t xml:space="preserve"> 2017/18.</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612860" w:rsidRDefault="00AA0136" w:rsidP="00AA0136">
            <w:pPr>
              <w:contextualSpacing/>
              <w:jc w:val="both"/>
              <w:rPr>
                <w:rFonts w:ascii="Calibri" w:eastAsia="Calibri" w:hAnsi="Calibri" w:cs="Times New Roman"/>
                <w:b/>
              </w:rPr>
            </w:pPr>
            <w:r w:rsidRPr="00612860">
              <w:rPr>
                <w:rFonts w:ascii="Calibri" w:eastAsia="Calibri" w:hAnsi="Calibri" w:cs="Times New Roman"/>
                <w:b/>
              </w:rPr>
              <w:t>11</w:t>
            </w:r>
          </w:p>
        </w:tc>
        <w:tc>
          <w:tcPr>
            <w:tcW w:w="8708" w:type="dxa"/>
          </w:tcPr>
          <w:p w:rsidR="00AA0136" w:rsidRPr="00612860" w:rsidRDefault="00AA0136" w:rsidP="00AA0136">
            <w:pPr>
              <w:contextualSpacing/>
              <w:jc w:val="both"/>
              <w:rPr>
                <w:rFonts w:ascii="Calibri" w:eastAsia="Calibri" w:hAnsi="Calibri" w:cs="Times New Roman"/>
                <w:b/>
              </w:rPr>
            </w:pPr>
            <w:r w:rsidRPr="00612860">
              <w:rPr>
                <w:rFonts w:ascii="Calibri" w:eastAsia="Calibri" w:hAnsi="Calibri" w:cs="Times New Roman"/>
                <w:b/>
              </w:rPr>
              <w:t>GSBS Withdrawal of Programmes</w:t>
            </w:r>
          </w:p>
          <w:p w:rsidR="00AA0136" w:rsidRPr="00612860"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ascii="Calibri" w:eastAsia="Calibri" w:hAnsi="Calibri" w:cs="Times New Roman"/>
              </w:rPr>
            </w:pPr>
            <w:r>
              <w:rPr>
                <w:rFonts w:ascii="Calibri" w:eastAsia="Calibri" w:hAnsi="Calibri" w:cs="Times New Roman"/>
              </w:rPr>
              <w:t>Senate approved the withdrawal of the following programmes:-</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w:t>
            </w:r>
            <w:r w:rsidRPr="00612860">
              <w:rPr>
                <w:rFonts w:ascii="Calibri" w:eastAsia="Calibri" w:hAnsi="Calibri" w:cs="Times New Roman"/>
              </w:rPr>
              <w:tab/>
              <w:t>BA/BA (Hons) International Business and Finance, last intake September 2018</w:t>
            </w:r>
          </w:p>
          <w:p w:rsidR="00AA0136" w:rsidRPr="00612860" w:rsidRDefault="00AA0136" w:rsidP="00AA0136">
            <w:pPr>
              <w:contextualSpacing/>
              <w:jc w:val="both"/>
              <w:rPr>
                <w:rFonts w:ascii="Calibri" w:eastAsia="Calibri" w:hAnsi="Calibri" w:cs="Times New Roman"/>
              </w:rPr>
            </w:pPr>
            <w:r w:rsidRPr="00612860">
              <w:rPr>
                <w:rFonts w:ascii="Calibri" w:eastAsia="Calibri" w:hAnsi="Calibri" w:cs="Times New Roman"/>
              </w:rPr>
              <w:t>•</w:t>
            </w:r>
            <w:r w:rsidRPr="00612860">
              <w:rPr>
                <w:rFonts w:ascii="Calibri" w:eastAsia="Calibri" w:hAnsi="Calibri" w:cs="Times New Roman"/>
              </w:rPr>
              <w:tab/>
              <w:t>BA/BA (Hons) International Business and Marketing, last intake September 2018</w:t>
            </w:r>
          </w:p>
          <w:p w:rsidR="00AA0136" w:rsidRPr="00383856" w:rsidRDefault="00AA0136" w:rsidP="00AA0136">
            <w:pPr>
              <w:contextualSpacing/>
              <w:jc w:val="both"/>
              <w:rPr>
                <w:rFonts w:ascii="Calibri" w:eastAsia="Calibri" w:hAnsi="Calibri" w:cs="Times New Roman"/>
              </w:rPr>
            </w:pPr>
            <w:r w:rsidRPr="00612860">
              <w:rPr>
                <w:rFonts w:ascii="Calibri" w:eastAsia="Calibri" w:hAnsi="Calibri" w:cs="Times New Roman"/>
              </w:rPr>
              <w:t>•</w:t>
            </w:r>
            <w:r w:rsidRPr="00612860">
              <w:rPr>
                <w:rFonts w:ascii="Calibri" w:eastAsia="Calibri" w:hAnsi="Calibri" w:cs="Times New Roman"/>
              </w:rPr>
              <w:tab/>
              <w:t>BA/BA (Hons) International Business and Tourism Management, last intake September 2020</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 xml:space="preserve"> </w:t>
            </w: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75D57" w:rsidRDefault="00AA0136" w:rsidP="00AA0136">
            <w:pPr>
              <w:contextualSpacing/>
              <w:jc w:val="both"/>
              <w:rPr>
                <w:rFonts w:ascii="Calibri" w:eastAsia="Calibri" w:hAnsi="Calibri" w:cs="Times New Roman"/>
                <w:b/>
              </w:rPr>
            </w:pPr>
            <w:r w:rsidRPr="00375D57">
              <w:rPr>
                <w:rFonts w:ascii="Calibri" w:eastAsia="Calibri" w:hAnsi="Calibri" w:cs="Times New Roman"/>
                <w:b/>
              </w:rPr>
              <w:t>12</w:t>
            </w:r>
          </w:p>
        </w:tc>
        <w:tc>
          <w:tcPr>
            <w:tcW w:w="8708" w:type="dxa"/>
          </w:tcPr>
          <w:p w:rsidR="00AA0136" w:rsidRDefault="00AA0136" w:rsidP="00AA0136">
            <w:pPr>
              <w:contextualSpacing/>
              <w:jc w:val="both"/>
              <w:rPr>
                <w:rFonts w:ascii="Calibri" w:eastAsia="Calibri" w:hAnsi="Calibri" w:cs="Times New Roman"/>
                <w:b/>
              </w:rPr>
            </w:pPr>
            <w:r w:rsidRPr="00375D57">
              <w:rPr>
                <w:rFonts w:ascii="Calibri" w:eastAsia="Calibri" w:hAnsi="Calibri" w:cs="Times New Roman"/>
                <w:b/>
              </w:rPr>
              <w:t>Research Degrees Regulations Refresh</w:t>
            </w:r>
          </w:p>
          <w:p w:rsidR="00AA0136" w:rsidRPr="00375D57"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Default="00AA0136" w:rsidP="00AA0136">
            <w:pPr>
              <w:contextualSpacing/>
              <w:jc w:val="both"/>
              <w:rPr>
                <w:rFonts w:ascii="Calibri" w:eastAsia="Calibri" w:hAnsi="Calibri" w:cs="Times New Roman"/>
              </w:rPr>
            </w:pPr>
            <w:r>
              <w:rPr>
                <w:rFonts w:ascii="Calibri" w:eastAsia="Calibri" w:hAnsi="Calibri" w:cs="Times New Roman"/>
              </w:rPr>
              <w:t xml:space="preserve">Senate considered proposals for the refresh of Research Degree Regulations. The changes </w:t>
            </w:r>
            <w:r w:rsidRPr="00375D57">
              <w:rPr>
                <w:rFonts w:ascii="Calibri" w:eastAsia="Calibri" w:hAnsi="Calibri" w:cs="Times New Roman"/>
              </w:rPr>
              <w:t>were proposed to simplify the regulations and take account of changes to University procedures and structures.</w:t>
            </w:r>
          </w:p>
          <w:p w:rsidR="00AA0136" w:rsidRDefault="00AA0136" w:rsidP="00AA0136">
            <w:pPr>
              <w:contextualSpacing/>
              <w:jc w:val="both"/>
              <w:rPr>
                <w:rFonts w:ascii="Calibri" w:eastAsia="Calibri" w:hAnsi="Calibri" w:cs="Times New Roman"/>
              </w:rPr>
            </w:pPr>
          </w:p>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Senate resolved to agree, in principle, the proposed changes, subject to the incorporation of additional amendments raised at the meeting, with the updated report being circulated electronically to Senators for final approval.</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75D57" w:rsidRDefault="00AA0136" w:rsidP="00AA0136">
            <w:pPr>
              <w:contextualSpacing/>
              <w:jc w:val="both"/>
              <w:rPr>
                <w:rFonts w:ascii="Calibri" w:eastAsia="Calibri" w:hAnsi="Calibri" w:cs="Times New Roman"/>
                <w:b/>
              </w:rPr>
            </w:pPr>
            <w:r w:rsidRPr="00375D57">
              <w:rPr>
                <w:rFonts w:ascii="Calibri" w:eastAsia="Calibri" w:hAnsi="Calibri" w:cs="Times New Roman"/>
                <w:b/>
              </w:rPr>
              <w:t>13</w:t>
            </w:r>
          </w:p>
        </w:tc>
        <w:tc>
          <w:tcPr>
            <w:tcW w:w="8708" w:type="dxa"/>
          </w:tcPr>
          <w:p w:rsidR="00AA0136" w:rsidRPr="00375D57" w:rsidRDefault="00AA0136" w:rsidP="00AA0136">
            <w:pPr>
              <w:contextualSpacing/>
              <w:jc w:val="both"/>
              <w:rPr>
                <w:rFonts w:ascii="Calibri" w:eastAsia="Calibri" w:hAnsi="Calibri" w:cs="Times New Roman"/>
                <w:b/>
              </w:rPr>
            </w:pPr>
            <w:r w:rsidRPr="00375D57">
              <w:rPr>
                <w:rFonts w:ascii="Calibri" w:eastAsia="Calibri" w:hAnsi="Calibri" w:cs="Times New Roman"/>
                <w:b/>
              </w:rPr>
              <w:t>Refreshed Regulations and Procedure for Misconduct in Research Degrees</w:t>
            </w:r>
          </w:p>
          <w:p w:rsidR="00AA0136" w:rsidRPr="00375D57"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r>
              <w:rPr>
                <w:rFonts w:ascii="Calibri" w:eastAsia="Calibri" w:hAnsi="Calibri" w:cs="Times New Roman"/>
              </w:rPr>
              <w:t>Senate approved r</w:t>
            </w:r>
            <w:r w:rsidRPr="00375D57">
              <w:rPr>
                <w:rFonts w:ascii="Calibri" w:eastAsia="Calibri" w:hAnsi="Calibri" w:cs="Times New Roman"/>
              </w:rPr>
              <w:t>efreshed Regulations and Procedure for Misconduct in Research degrees which were currently included in the Regulations for the Award of University’s Degrees Of Master Of Philosophy, Doctor Of Philosophy, Professional Masters And Professional Doctorate (Section 15 Cheating a</w:t>
            </w:r>
            <w:r>
              <w:rPr>
                <w:rFonts w:ascii="Calibri" w:eastAsia="Calibri" w:hAnsi="Calibri" w:cs="Times New Roman"/>
              </w:rPr>
              <w:t xml:space="preserve">nd Plagiarism).  The revised procedures </w:t>
            </w:r>
            <w:r w:rsidRPr="00375D57">
              <w:rPr>
                <w:rFonts w:ascii="Calibri" w:eastAsia="Calibri" w:hAnsi="Calibri" w:cs="Times New Roman"/>
              </w:rPr>
              <w:t xml:space="preserve">clarified roles and </w:t>
            </w:r>
            <w:proofErr w:type="gramStart"/>
            <w:r w:rsidRPr="00375D57">
              <w:rPr>
                <w:rFonts w:ascii="Calibri" w:eastAsia="Calibri" w:hAnsi="Calibri" w:cs="Times New Roman"/>
              </w:rPr>
              <w:t>responsibilities,</w:t>
            </w:r>
            <w:proofErr w:type="gramEnd"/>
            <w:r w:rsidRPr="00375D57">
              <w:rPr>
                <w:rFonts w:ascii="Calibri" w:eastAsia="Calibri" w:hAnsi="Calibri" w:cs="Times New Roman"/>
              </w:rPr>
              <w:t xml:space="preserve"> included rea</w:t>
            </w:r>
            <w:r>
              <w:rPr>
                <w:rFonts w:ascii="Calibri" w:eastAsia="Calibri" w:hAnsi="Calibri" w:cs="Times New Roman"/>
              </w:rPr>
              <w:t xml:space="preserve">listic timescales based on the </w:t>
            </w:r>
            <w:r w:rsidRPr="00375D57">
              <w:rPr>
                <w:rFonts w:ascii="Calibri" w:eastAsia="Calibri" w:hAnsi="Calibri" w:cs="Times New Roman"/>
              </w:rPr>
              <w:t xml:space="preserve">procedures in the Code of Student Conduct, and introduced an appeal process.  </w:t>
            </w:r>
            <w:r>
              <w:rPr>
                <w:rFonts w:ascii="Calibri" w:eastAsia="Calibri" w:hAnsi="Calibri" w:cs="Times New Roman"/>
              </w:rPr>
              <w:t>It was noted that u</w:t>
            </w:r>
            <w:r w:rsidRPr="00375D57">
              <w:rPr>
                <w:rFonts w:ascii="Calibri" w:eastAsia="Calibri" w:hAnsi="Calibri" w:cs="Times New Roman"/>
              </w:rPr>
              <w:t>ltimately, the intention was to integrate the procedures for Research Degrees within the Code of Student Conduct at its next revision.</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r>
              <w:rPr>
                <w:rFonts w:ascii="Calibri" w:eastAsia="Calibri" w:hAnsi="Calibri" w:cs="Times New Roman"/>
                <w:b/>
              </w:rPr>
              <w:t>14</w:t>
            </w:r>
            <w:r w:rsidRPr="00383856">
              <w:rPr>
                <w:rFonts w:ascii="Calibri" w:eastAsia="Calibri" w:hAnsi="Calibri" w:cs="Times New Roman"/>
                <w:b/>
              </w:rPr>
              <w:t>.</w:t>
            </w:r>
          </w:p>
        </w:tc>
        <w:tc>
          <w:tcPr>
            <w:tcW w:w="8708" w:type="dxa"/>
          </w:tcPr>
          <w:p w:rsidR="00AA0136" w:rsidRPr="00383856" w:rsidRDefault="00AA0136" w:rsidP="00AA0136">
            <w:pPr>
              <w:contextualSpacing/>
              <w:jc w:val="both"/>
              <w:rPr>
                <w:rFonts w:ascii="Calibri" w:eastAsia="Calibri" w:hAnsi="Calibri" w:cs="Times New Roman"/>
                <w:b/>
              </w:rPr>
            </w:pPr>
            <w:r w:rsidRPr="00383856">
              <w:rPr>
                <w:rFonts w:ascii="Calibri" w:eastAsia="Calibri" w:hAnsi="Calibri" w:cs="Times New Roman"/>
                <w:b/>
              </w:rPr>
              <w:t>Other Matters Approved</w:t>
            </w:r>
          </w:p>
          <w:p w:rsidR="00AA0136" w:rsidRPr="00383856"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b/>
              </w:rPr>
            </w:pPr>
          </w:p>
        </w:tc>
        <w:tc>
          <w:tcPr>
            <w:tcW w:w="8708" w:type="dxa"/>
          </w:tcPr>
          <w:p w:rsidR="00AA0136" w:rsidRPr="00383856" w:rsidRDefault="00AA0136" w:rsidP="00AA0136">
            <w:pPr>
              <w:numPr>
                <w:ilvl w:val="0"/>
                <w:numId w:val="2"/>
              </w:numPr>
              <w:spacing w:after="0" w:line="240" w:lineRule="auto"/>
              <w:contextualSpacing/>
              <w:jc w:val="both"/>
              <w:rPr>
                <w:rFonts w:ascii="Calibri" w:eastAsia="Calibri" w:hAnsi="Calibri" w:cs="Times New Roman"/>
              </w:rPr>
            </w:pPr>
            <w:r w:rsidRPr="00383856">
              <w:rPr>
                <w:rFonts w:ascii="Calibri" w:eastAsia="Calibri" w:hAnsi="Calibri" w:cs="Times New Roman"/>
              </w:rPr>
              <w:t>Following recommendations from the Higher Degree Committe</w:t>
            </w:r>
            <w:r>
              <w:rPr>
                <w:rFonts w:ascii="Calibri" w:eastAsia="Calibri" w:hAnsi="Calibri" w:cs="Times New Roman"/>
              </w:rPr>
              <w:t xml:space="preserve">e, Senate confirmed the award </w:t>
            </w:r>
            <w:r w:rsidRPr="00383856">
              <w:rPr>
                <w:rFonts w:ascii="Calibri" w:eastAsia="Calibri" w:hAnsi="Calibri" w:cs="Times New Roman"/>
              </w:rPr>
              <w:t xml:space="preserve">of </w:t>
            </w:r>
            <w:r>
              <w:rPr>
                <w:rFonts w:ascii="Calibri" w:eastAsia="Calibri" w:hAnsi="Calibri" w:cs="Times New Roman"/>
              </w:rPr>
              <w:t xml:space="preserve">32 </w:t>
            </w:r>
            <w:r w:rsidRPr="00383856">
              <w:rPr>
                <w:rFonts w:ascii="Calibri" w:eastAsia="Calibri" w:hAnsi="Calibri" w:cs="Times New Roman"/>
              </w:rPr>
              <w:t>PhD</w:t>
            </w:r>
            <w:r>
              <w:rPr>
                <w:rFonts w:ascii="Calibri" w:eastAsia="Calibri" w:hAnsi="Calibri" w:cs="Times New Roman"/>
              </w:rPr>
              <w:t>s</w:t>
            </w:r>
            <w:r w:rsidRPr="00383856">
              <w:rPr>
                <w:rFonts w:ascii="Calibri" w:eastAsia="Calibri" w:hAnsi="Calibri" w:cs="Times New Roman"/>
              </w:rPr>
              <w:t xml:space="preserve"> </w:t>
            </w:r>
            <w:r>
              <w:rPr>
                <w:rFonts w:ascii="Calibri" w:eastAsia="Calibri" w:hAnsi="Calibri" w:cs="Times New Roman"/>
              </w:rPr>
              <w:t>and 1 Prof D</w:t>
            </w:r>
            <w:r w:rsidRPr="00383856">
              <w:rPr>
                <w:rFonts w:ascii="Calibri" w:eastAsia="Calibri" w:hAnsi="Calibri" w:cs="Times New Roman"/>
              </w:rPr>
              <w:t>.</w:t>
            </w:r>
          </w:p>
          <w:p w:rsidR="00AA0136" w:rsidRPr="00383856" w:rsidRDefault="00AA0136" w:rsidP="00AA0136">
            <w:pPr>
              <w:numPr>
                <w:ilvl w:val="0"/>
                <w:numId w:val="2"/>
              </w:numPr>
              <w:spacing w:after="0" w:line="240" w:lineRule="auto"/>
              <w:contextualSpacing/>
              <w:jc w:val="both"/>
              <w:rPr>
                <w:rFonts w:ascii="Calibri" w:eastAsia="Calibri" w:hAnsi="Calibri" w:cs="Times New Roman"/>
              </w:rPr>
            </w:pPr>
            <w:r w:rsidRPr="00383856">
              <w:rPr>
                <w:rFonts w:ascii="Calibri" w:eastAsia="Calibri" w:hAnsi="Calibri" w:cs="Times New Roman"/>
              </w:rPr>
              <w:t>Honorary and Visiting appointments.</w:t>
            </w:r>
          </w:p>
          <w:p w:rsidR="00AA0136" w:rsidRPr="00383856" w:rsidRDefault="00AA0136" w:rsidP="00AA0136">
            <w:pPr>
              <w:numPr>
                <w:ilvl w:val="0"/>
                <w:numId w:val="2"/>
              </w:numPr>
              <w:spacing w:after="0" w:line="240" w:lineRule="auto"/>
              <w:contextualSpacing/>
              <w:jc w:val="both"/>
              <w:rPr>
                <w:rFonts w:ascii="Calibri" w:eastAsia="Calibri" w:hAnsi="Calibri" w:cs="Times New Roman"/>
                <w:b/>
              </w:rPr>
            </w:pPr>
            <w:r>
              <w:rPr>
                <w:rFonts w:ascii="Calibri" w:eastAsia="Calibri" w:hAnsi="Calibri" w:cs="Times New Roman"/>
              </w:rPr>
              <w:t>The reappointment of Dr Les Wood and Dr Karen Thomson and Professor Agnieszka Klemm as members of the Senate Disciplinary Committee.</w:t>
            </w: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383856"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6B64F2" w:rsidRDefault="00AA0136" w:rsidP="00AA0136">
            <w:pPr>
              <w:contextualSpacing/>
              <w:jc w:val="both"/>
              <w:rPr>
                <w:rFonts w:ascii="Calibri" w:eastAsia="Calibri" w:hAnsi="Calibri" w:cs="Times New Roman"/>
                <w:b/>
              </w:rPr>
            </w:pPr>
            <w:r w:rsidRPr="006B64F2">
              <w:rPr>
                <w:rFonts w:ascii="Calibri" w:eastAsia="Calibri" w:hAnsi="Calibri" w:cs="Times New Roman"/>
                <w:b/>
              </w:rPr>
              <w:t>11.</w:t>
            </w:r>
          </w:p>
        </w:tc>
        <w:tc>
          <w:tcPr>
            <w:tcW w:w="8708" w:type="dxa"/>
          </w:tcPr>
          <w:p w:rsidR="00AA0136" w:rsidRPr="006B64F2" w:rsidRDefault="00AA0136" w:rsidP="00AA0136">
            <w:pPr>
              <w:contextualSpacing/>
              <w:jc w:val="both"/>
              <w:rPr>
                <w:rFonts w:ascii="Calibri" w:eastAsia="Calibri" w:hAnsi="Calibri" w:cs="Times New Roman"/>
                <w:b/>
              </w:rPr>
            </w:pPr>
            <w:r w:rsidRPr="006B64F2">
              <w:rPr>
                <w:rFonts w:ascii="Calibri" w:eastAsia="Calibri" w:hAnsi="Calibri" w:cs="Times New Roman"/>
                <w:b/>
              </w:rPr>
              <w:t>Other Matters Noted</w:t>
            </w:r>
          </w:p>
          <w:p w:rsidR="00AA0136" w:rsidRPr="006B64F2" w:rsidRDefault="00AA0136" w:rsidP="00AA0136">
            <w:pPr>
              <w:contextualSpacing/>
              <w:jc w:val="both"/>
              <w:rPr>
                <w:rFonts w:ascii="Calibri" w:eastAsia="Calibri" w:hAnsi="Calibri" w:cs="Times New Roman"/>
                <w:b/>
              </w:rPr>
            </w:pPr>
          </w:p>
        </w:tc>
      </w:tr>
      <w:tr w:rsidR="00AA0136" w:rsidRPr="00383856" w:rsidTr="00AC3B5A">
        <w:tc>
          <w:tcPr>
            <w:tcW w:w="534" w:type="dxa"/>
          </w:tcPr>
          <w:p w:rsidR="00AA0136" w:rsidRPr="00383856" w:rsidRDefault="00AA0136" w:rsidP="00AA0136">
            <w:pPr>
              <w:contextualSpacing/>
              <w:jc w:val="both"/>
              <w:rPr>
                <w:rFonts w:ascii="Calibri" w:eastAsia="Calibri" w:hAnsi="Calibri" w:cs="Times New Roman"/>
              </w:rPr>
            </w:pPr>
          </w:p>
        </w:tc>
        <w:tc>
          <w:tcPr>
            <w:tcW w:w="8708" w:type="dxa"/>
          </w:tcPr>
          <w:p w:rsidR="00AA0136" w:rsidRPr="00AA0136" w:rsidRDefault="00AA0136" w:rsidP="00AA0136">
            <w:pPr>
              <w:contextualSpacing/>
              <w:jc w:val="both"/>
              <w:rPr>
                <w:rFonts w:ascii="Calibri" w:eastAsia="Calibri" w:hAnsi="Calibri" w:cs="Times New Roman"/>
              </w:rPr>
            </w:pP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Recent academic staff appointments.</w:t>
            </w: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The confirmed minutes of the Academic Policy and Practice Committee held on 31st January 2018 and 28</w:t>
            </w:r>
            <w:r w:rsidRPr="00AA0136">
              <w:rPr>
                <w:rFonts w:ascii="Calibri" w:eastAsia="Calibri" w:hAnsi="Calibri" w:cs="Times New Roman"/>
                <w:vertAlign w:val="superscript"/>
              </w:rPr>
              <w:t>th</w:t>
            </w:r>
            <w:r w:rsidRPr="00AA0136">
              <w:rPr>
                <w:rFonts w:ascii="Calibri" w:eastAsia="Calibri" w:hAnsi="Calibri" w:cs="Times New Roman"/>
              </w:rPr>
              <w:t xml:space="preserve"> March 2018.</w:t>
            </w: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The confirmed minutes of the Research Committee held on 24th January and 14</w:t>
            </w:r>
            <w:r w:rsidRPr="00AA0136">
              <w:rPr>
                <w:rFonts w:ascii="Calibri" w:eastAsia="Calibri" w:hAnsi="Calibri" w:cs="Times New Roman"/>
                <w:vertAlign w:val="superscript"/>
              </w:rPr>
              <w:t>th</w:t>
            </w:r>
            <w:r w:rsidRPr="00AA0136">
              <w:rPr>
                <w:rFonts w:ascii="Calibri" w:eastAsia="Calibri" w:hAnsi="Calibri" w:cs="Times New Roman"/>
              </w:rPr>
              <w:t xml:space="preserve"> March 2018. </w:t>
            </w: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The confirmed minutes of the Glasgow School for Business and Society School Board 1</w:t>
            </w:r>
            <w:r w:rsidRPr="00AA0136">
              <w:rPr>
                <w:rFonts w:ascii="Calibri" w:eastAsia="Calibri" w:hAnsi="Calibri" w:cs="Times New Roman"/>
                <w:vertAlign w:val="superscript"/>
              </w:rPr>
              <w:t>st</w:t>
            </w:r>
            <w:r w:rsidRPr="00AA0136">
              <w:rPr>
                <w:rFonts w:ascii="Calibri" w:eastAsia="Calibri" w:hAnsi="Calibri" w:cs="Times New Roman"/>
              </w:rPr>
              <w:t xml:space="preserve"> November 2017 and 7</w:t>
            </w:r>
            <w:r w:rsidRPr="00AA0136">
              <w:rPr>
                <w:rFonts w:ascii="Calibri" w:eastAsia="Calibri" w:hAnsi="Calibri" w:cs="Times New Roman"/>
                <w:vertAlign w:val="superscript"/>
              </w:rPr>
              <w:t>th</w:t>
            </w:r>
            <w:r w:rsidRPr="00AA0136">
              <w:rPr>
                <w:rFonts w:ascii="Calibri" w:eastAsia="Calibri" w:hAnsi="Calibri" w:cs="Times New Roman"/>
              </w:rPr>
              <w:t xml:space="preserve"> March 2018.</w:t>
            </w: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The confirmed minutes of the School of Engineering and the Built Environment School Board 17</w:t>
            </w:r>
            <w:r w:rsidRPr="00AA0136">
              <w:rPr>
                <w:rFonts w:ascii="Calibri" w:eastAsia="Calibri" w:hAnsi="Calibri" w:cs="Times New Roman"/>
                <w:vertAlign w:val="superscript"/>
              </w:rPr>
              <w:t>th</w:t>
            </w:r>
            <w:r w:rsidRPr="00AA0136">
              <w:rPr>
                <w:rFonts w:ascii="Calibri" w:eastAsia="Calibri" w:hAnsi="Calibri" w:cs="Times New Roman"/>
              </w:rPr>
              <w:t xml:space="preserve"> January 2018 and 7</w:t>
            </w:r>
            <w:r w:rsidRPr="00AA0136">
              <w:rPr>
                <w:rFonts w:ascii="Calibri" w:eastAsia="Calibri" w:hAnsi="Calibri" w:cs="Times New Roman"/>
                <w:vertAlign w:val="superscript"/>
              </w:rPr>
              <w:t>th</w:t>
            </w:r>
            <w:r w:rsidRPr="00AA0136">
              <w:rPr>
                <w:rFonts w:ascii="Calibri" w:eastAsia="Calibri" w:hAnsi="Calibri" w:cs="Times New Roman"/>
              </w:rPr>
              <w:t xml:space="preserve"> March 2018.</w:t>
            </w:r>
          </w:p>
          <w:p w:rsidR="00AA0136" w:rsidRPr="00AA0136" w:rsidRDefault="00AA0136" w:rsidP="00AA0136">
            <w:pPr>
              <w:numPr>
                <w:ilvl w:val="0"/>
                <w:numId w:val="1"/>
              </w:numPr>
              <w:spacing w:after="0" w:line="240" w:lineRule="auto"/>
              <w:contextualSpacing/>
              <w:jc w:val="both"/>
              <w:rPr>
                <w:rFonts w:ascii="Calibri" w:eastAsia="Calibri" w:hAnsi="Calibri" w:cs="Times New Roman"/>
              </w:rPr>
            </w:pPr>
            <w:r w:rsidRPr="00AA0136">
              <w:rPr>
                <w:rFonts w:ascii="Calibri" w:eastAsia="Calibri" w:hAnsi="Calibri" w:cs="Times New Roman"/>
              </w:rPr>
              <w:t>Th</w:t>
            </w:r>
            <w:bookmarkStart w:id="0" w:name="_GoBack"/>
            <w:bookmarkEnd w:id="0"/>
            <w:r w:rsidRPr="00AA0136">
              <w:rPr>
                <w:rFonts w:ascii="Calibri" w:eastAsia="Calibri" w:hAnsi="Calibri" w:cs="Times New Roman"/>
              </w:rPr>
              <w:t>e confirmed minutes of the School of Health and Life Sciences School Board of 16</w:t>
            </w:r>
            <w:r w:rsidRPr="00AA0136">
              <w:rPr>
                <w:rFonts w:ascii="Calibri" w:eastAsia="Calibri" w:hAnsi="Calibri" w:cs="Times New Roman"/>
                <w:vertAlign w:val="superscript"/>
              </w:rPr>
              <w:t>th</w:t>
            </w:r>
            <w:r w:rsidRPr="00AA0136">
              <w:rPr>
                <w:rFonts w:ascii="Calibri" w:eastAsia="Calibri" w:hAnsi="Calibri" w:cs="Times New Roman"/>
              </w:rPr>
              <w:t xml:space="preserve"> </w:t>
            </w:r>
            <w:r w:rsidRPr="00AA0136">
              <w:rPr>
                <w:rFonts w:ascii="Calibri" w:eastAsia="Calibri" w:hAnsi="Calibri" w:cs="Times New Roman"/>
              </w:rPr>
              <w:lastRenderedPageBreak/>
              <w:t>February 2018</w:t>
            </w:r>
          </w:p>
          <w:p w:rsidR="00AA0136" w:rsidRPr="00AA0136" w:rsidRDefault="00AA0136" w:rsidP="00AA0136">
            <w:pPr>
              <w:numPr>
                <w:ilvl w:val="0"/>
                <w:numId w:val="1"/>
              </w:numPr>
              <w:spacing w:after="0" w:line="240" w:lineRule="auto"/>
              <w:contextualSpacing/>
              <w:jc w:val="both"/>
              <w:rPr>
                <w:rFonts w:cs="Times New Roman"/>
              </w:rPr>
            </w:pPr>
            <w:r w:rsidRPr="00AA0136">
              <w:rPr>
                <w:rFonts w:ascii="Calibri" w:eastAsia="Calibri" w:hAnsi="Calibri" w:cs="Times New Roman"/>
              </w:rPr>
              <w:t>The confirmed minutes of GCU London School Board of 14</w:t>
            </w:r>
            <w:r w:rsidRPr="00AA0136">
              <w:rPr>
                <w:rFonts w:ascii="Calibri" w:eastAsia="Calibri" w:hAnsi="Calibri" w:cs="Times New Roman"/>
                <w:vertAlign w:val="superscript"/>
              </w:rPr>
              <w:t>th</w:t>
            </w:r>
            <w:r w:rsidRPr="00AA0136">
              <w:rPr>
                <w:rFonts w:ascii="Calibri" w:eastAsia="Calibri" w:hAnsi="Calibri" w:cs="Times New Roman"/>
              </w:rPr>
              <w:t xml:space="preserve"> February 2018</w:t>
            </w:r>
          </w:p>
          <w:p w:rsidR="00AA0136" w:rsidRPr="00AA0136" w:rsidRDefault="00AA0136" w:rsidP="00AA0136">
            <w:pPr>
              <w:numPr>
                <w:ilvl w:val="0"/>
                <w:numId w:val="1"/>
              </w:numPr>
              <w:spacing w:after="0" w:line="240" w:lineRule="auto"/>
              <w:contextualSpacing/>
              <w:jc w:val="both"/>
              <w:rPr>
                <w:rFonts w:cs="Times New Roman"/>
              </w:rPr>
            </w:pPr>
            <w:r w:rsidRPr="00AA0136">
              <w:rPr>
                <w:rFonts w:cs="Times New Roman"/>
              </w:rPr>
              <w:t>The proposed calendar of meetings for Senate and Standing Committees for Session 2018/19</w:t>
            </w:r>
          </w:p>
          <w:p w:rsidR="00AA0136" w:rsidRPr="004A1FB7" w:rsidRDefault="00AA0136" w:rsidP="00AA0136">
            <w:pPr>
              <w:contextualSpacing/>
              <w:jc w:val="both"/>
              <w:rPr>
                <w:rFonts w:cs="Times New Roman"/>
                <w:b/>
              </w:rPr>
            </w:pPr>
          </w:p>
          <w:p w:rsidR="00AA0136" w:rsidRPr="004A1FB7" w:rsidRDefault="00AA0136" w:rsidP="00AA0136">
            <w:pPr>
              <w:contextualSpacing/>
              <w:jc w:val="both"/>
              <w:rPr>
                <w:rFonts w:ascii="Calibri" w:eastAsia="Calibri" w:hAnsi="Calibri" w:cs="Times New Roman"/>
                <w:b/>
              </w:rPr>
            </w:pPr>
            <w:r w:rsidRPr="004A1FB7">
              <w:rPr>
                <w:rFonts w:ascii="Calibri" w:eastAsia="Calibri" w:hAnsi="Calibri" w:cs="Times New Roman"/>
                <w:b/>
              </w:rPr>
              <w:t>Date of the next scheduled meeting of Senate is Friday 12</w:t>
            </w:r>
            <w:r w:rsidRPr="004A1FB7">
              <w:rPr>
                <w:rFonts w:ascii="Calibri" w:eastAsia="Calibri" w:hAnsi="Calibri" w:cs="Times New Roman"/>
                <w:b/>
                <w:vertAlign w:val="superscript"/>
              </w:rPr>
              <w:t>th</w:t>
            </w:r>
            <w:r w:rsidRPr="004A1FB7">
              <w:rPr>
                <w:rFonts w:ascii="Calibri" w:eastAsia="Calibri" w:hAnsi="Calibri" w:cs="Times New Roman"/>
                <w:b/>
              </w:rPr>
              <w:t xml:space="preserve"> October 2018</w:t>
            </w:r>
          </w:p>
        </w:tc>
      </w:tr>
    </w:tbl>
    <w:p w:rsidR="00C03958" w:rsidRDefault="00C03958" w:rsidP="00AA0136">
      <w:pPr>
        <w:contextualSpacing/>
      </w:pPr>
    </w:p>
    <w:sectPr w:rsidR="00C03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0E1"/>
    <w:multiLevelType w:val="hybridMultilevel"/>
    <w:tmpl w:val="95AE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E45BCF"/>
    <w:multiLevelType w:val="hybridMultilevel"/>
    <w:tmpl w:val="D368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EF1231"/>
    <w:multiLevelType w:val="hybridMultilevel"/>
    <w:tmpl w:val="30348C0A"/>
    <w:lvl w:ilvl="0" w:tplc="08090017">
      <w:start w:val="1"/>
      <w:numFmt w:val="lowerLetter"/>
      <w:lvlText w:val="%1)"/>
      <w:lvlJc w:val="left"/>
      <w:pPr>
        <w:ind w:left="747" w:hanging="360"/>
      </w:p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3">
    <w:nsid w:val="617C273E"/>
    <w:multiLevelType w:val="hybridMultilevel"/>
    <w:tmpl w:val="81B2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E361EE"/>
    <w:multiLevelType w:val="hybridMultilevel"/>
    <w:tmpl w:val="6FBE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36"/>
    <w:rsid w:val="00012C74"/>
    <w:rsid w:val="0002192D"/>
    <w:rsid w:val="0002637C"/>
    <w:rsid w:val="000470ED"/>
    <w:rsid w:val="00074692"/>
    <w:rsid w:val="0009604A"/>
    <w:rsid w:val="000B3363"/>
    <w:rsid w:val="000E03E0"/>
    <w:rsid w:val="000F1D7C"/>
    <w:rsid w:val="00135EE7"/>
    <w:rsid w:val="001940C7"/>
    <w:rsid w:val="001C47B6"/>
    <w:rsid w:val="001D0528"/>
    <w:rsid w:val="00263BB7"/>
    <w:rsid w:val="002A17AA"/>
    <w:rsid w:val="0031693C"/>
    <w:rsid w:val="00376A7D"/>
    <w:rsid w:val="003D196F"/>
    <w:rsid w:val="00410A65"/>
    <w:rsid w:val="00447560"/>
    <w:rsid w:val="00476E50"/>
    <w:rsid w:val="004A4B88"/>
    <w:rsid w:val="004D60A1"/>
    <w:rsid w:val="004E66E1"/>
    <w:rsid w:val="00522B0D"/>
    <w:rsid w:val="00535D9A"/>
    <w:rsid w:val="00555C32"/>
    <w:rsid w:val="00570B23"/>
    <w:rsid w:val="006432A9"/>
    <w:rsid w:val="006523FC"/>
    <w:rsid w:val="00671035"/>
    <w:rsid w:val="0068505A"/>
    <w:rsid w:val="00694C79"/>
    <w:rsid w:val="006E1234"/>
    <w:rsid w:val="007414EC"/>
    <w:rsid w:val="0079437C"/>
    <w:rsid w:val="007A327E"/>
    <w:rsid w:val="0081138E"/>
    <w:rsid w:val="008424A9"/>
    <w:rsid w:val="008D11C5"/>
    <w:rsid w:val="00952529"/>
    <w:rsid w:val="00955308"/>
    <w:rsid w:val="009875AA"/>
    <w:rsid w:val="009A67AA"/>
    <w:rsid w:val="009B5B02"/>
    <w:rsid w:val="009E6865"/>
    <w:rsid w:val="00A0719D"/>
    <w:rsid w:val="00A321F9"/>
    <w:rsid w:val="00A50B36"/>
    <w:rsid w:val="00AA0136"/>
    <w:rsid w:val="00AB2933"/>
    <w:rsid w:val="00AC2374"/>
    <w:rsid w:val="00AC49B4"/>
    <w:rsid w:val="00B23A83"/>
    <w:rsid w:val="00B302BD"/>
    <w:rsid w:val="00B35364"/>
    <w:rsid w:val="00B377B0"/>
    <w:rsid w:val="00B81AD2"/>
    <w:rsid w:val="00BA653E"/>
    <w:rsid w:val="00BC32BD"/>
    <w:rsid w:val="00C03958"/>
    <w:rsid w:val="00D45707"/>
    <w:rsid w:val="00D554BD"/>
    <w:rsid w:val="00DA05E8"/>
    <w:rsid w:val="00DC7CB2"/>
    <w:rsid w:val="00E46CBE"/>
    <w:rsid w:val="00E718EB"/>
    <w:rsid w:val="00ED16B0"/>
    <w:rsid w:val="00EF485E"/>
    <w:rsid w:val="00F10264"/>
    <w:rsid w:val="00F17BA7"/>
    <w:rsid w:val="00F272E5"/>
    <w:rsid w:val="00F3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A0136"/>
    <w:pPr>
      <w:spacing w:after="0" w:line="240" w:lineRule="auto"/>
      <w:ind w:left="720"/>
    </w:pPr>
    <w:rPr>
      <w:rFonts w:ascii="Calibri" w:eastAsia="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A0136"/>
    <w:pPr>
      <w:spacing w:after="0" w:line="240" w:lineRule="auto"/>
      <w:ind w:left="720"/>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cp:revision>
  <dcterms:created xsi:type="dcterms:W3CDTF">2018-06-15T14:59:00Z</dcterms:created>
  <dcterms:modified xsi:type="dcterms:W3CDTF">2018-06-15T15:02:00Z</dcterms:modified>
</cp:coreProperties>
</file>