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CF" w:rsidRPr="0062173B" w:rsidRDefault="007676CF" w:rsidP="00754C04">
      <w:pPr>
        <w:pStyle w:val="NoSpacing"/>
        <w:jc w:val="right"/>
        <w:rPr>
          <w:rFonts w:asciiTheme="minorHAnsi" w:hAnsiTheme="minorHAnsi" w:cstheme="minorHAnsi"/>
          <w:b/>
        </w:rPr>
      </w:pP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b/>
        </w:rPr>
        <w:t>DocUC</w:t>
      </w:r>
      <w:r w:rsidR="00CE31EE" w:rsidRPr="0062173B">
        <w:rPr>
          <w:rFonts w:asciiTheme="minorHAnsi" w:hAnsiTheme="minorHAnsi" w:cstheme="minorHAnsi"/>
          <w:b/>
        </w:rPr>
        <w:t>1</w:t>
      </w:r>
      <w:r w:rsidR="008F40E1" w:rsidRPr="0062173B">
        <w:rPr>
          <w:rFonts w:asciiTheme="minorHAnsi" w:hAnsiTheme="minorHAnsi" w:cstheme="minorHAnsi"/>
          <w:b/>
        </w:rPr>
        <w:t>4</w:t>
      </w:r>
      <w:r w:rsidR="00AA23BB" w:rsidRPr="0062173B">
        <w:rPr>
          <w:rFonts w:asciiTheme="minorHAnsi" w:hAnsiTheme="minorHAnsi" w:cstheme="minorHAnsi"/>
          <w:b/>
        </w:rPr>
        <w:t>/</w:t>
      </w:r>
      <w:r w:rsidR="000F0FF3" w:rsidRPr="0062173B">
        <w:rPr>
          <w:rFonts w:asciiTheme="minorHAnsi" w:hAnsiTheme="minorHAnsi" w:cstheme="minorHAnsi"/>
          <w:b/>
        </w:rPr>
        <w:t>4</w:t>
      </w:r>
      <w:r w:rsidR="008F40E1" w:rsidRPr="0062173B">
        <w:rPr>
          <w:rFonts w:asciiTheme="minorHAnsi" w:hAnsiTheme="minorHAnsi" w:cstheme="minorHAnsi"/>
          <w:b/>
        </w:rPr>
        <w:t>1</w:t>
      </w:r>
    </w:p>
    <w:p w:rsidR="007676CF" w:rsidRPr="0062173B" w:rsidRDefault="007676CF" w:rsidP="00754C04">
      <w:pPr>
        <w:pStyle w:val="NoSpacing"/>
        <w:jc w:val="right"/>
        <w:rPr>
          <w:rFonts w:asciiTheme="minorHAnsi" w:hAnsiTheme="minorHAnsi" w:cstheme="minorHAnsi"/>
          <w:b/>
        </w:rPr>
      </w:pP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r>
      <w:r w:rsidRPr="0062173B">
        <w:rPr>
          <w:rFonts w:asciiTheme="minorHAnsi" w:hAnsiTheme="minorHAnsi" w:cstheme="minorHAnsi"/>
          <w:b/>
        </w:rPr>
        <w:tab/>
        <w:t>(</w:t>
      </w:r>
      <w:r w:rsidR="00A74635">
        <w:rPr>
          <w:rFonts w:asciiTheme="minorHAnsi" w:hAnsiTheme="minorHAnsi" w:cstheme="minorHAnsi"/>
          <w:b/>
        </w:rPr>
        <w:t>C</w:t>
      </w:r>
      <w:bookmarkStart w:id="0" w:name="_GoBack"/>
      <w:bookmarkEnd w:id="0"/>
      <w:r w:rsidRPr="0062173B">
        <w:rPr>
          <w:rFonts w:asciiTheme="minorHAnsi" w:hAnsiTheme="minorHAnsi" w:cstheme="minorHAnsi"/>
          <w:b/>
        </w:rPr>
        <w:t>onfirmed)</w:t>
      </w: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University Court</w:t>
      </w:r>
    </w:p>
    <w:p w:rsidR="007676CF" w:rsidRPr="0062173B" w:rsidRDefault="007676CF" w:rsidP="00754C04">
      <w:pPr>
        <w:pStyle w:val="NoSpacing"/>
        <w:jc w:val="both"/>
        <w:rPr>
          <w:rFonts w:asciiTheme="minorHAnsi" w:hAnsiTheme="minorHAnsi" w:cstheme="minorHAnsi"/>
          <w:b/>
        </w:rPr>
      </w:pP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 xml:space="preserve">Minutes of the meeting of the University Court held on </w:t>
      </w:r>
      <w:r w:rsidR="00D770DD" w:rsidRPr="0062173B">
        <w:rPr>
          <w:rFonts w:asciiTheme="minorHAnsi" w:hAnsiTheme="minorHAnsi" w:cstheme="minorHAnsi"/>
          <w:b/>
        </w:rPr>
        <w:t>2</w:t>
      </w:r>
      <w:r w:rsidR="002A188E" w:rsidRPr="0062173B">
        <w:rPr>
          <w:rFonts w:asciiTheme="minorHAnsi" w:hAnsiTheme="minorHAnsi" w:cstheme="minorHAnsi"/>
          <w:b/>
        </w:rPr>
        <w:t>7</w:t>
      </w:r>
      <w:r w:rsidR="00D770DD" w:rsidRPr="0062173B">
        <w:rPr>
          <w:rFonts w:asciiTheme="minorHAnsi" w:hAnsiTheme="minorHAnsi" w:cstheme="minorHAnsi"/>
          <w:b/>
          <w:vertAlign w:val="superscript"/>
        </w:rPr>
        <w:t>th</w:t>
      </w:r>
      <w:r w:rsidR="00D770DD" w:rsidRPr="0062173B">
        <w:rPr>
          <w:rFonts w:asciiTheme="minorHAnsi" w:hAnsiTheme="minorHAnsi" w:cstheme="minorHAnsi"/>
          <w:b/>
        </w:rPr>
        <w:t xml:space="preserve"> </w:t>
      </w:r>
      <w:r w:rsidR="007B7484" w:rsidRPr="0062173B">
        <w:rPr>
          <w:rFonts w:asciiTheme="minorHAnsi" w:hAnsiTheme="minorHAnsi" w:cstheme="minorHAnsi"/>
          <w:b/>
        </w:rPr>
        <w:t>November</w:t>
      </w:r>
      <w:r w:rsidR="00AA23BB" w:rsidRPr="0062173B">
        <w:rPr>
          <w:rFonts w:asciiTheme="minorHAnsi" w:hAnsiTheme="minorHAnsi" w:cstheme="minorHAnsi"/>
          <w:b/>
        </w:rPr>
        <w:t xml:space="preserve"> 201</w:t>
      </w:r>
      <w:r w:rsidR="008F40E1" w:rsidRPr="0062173B">
        <w:rPr>
          <w:rFonts w:asciiTheme="minorHAnsi" w:hAnsiTheme="minorHAnsi" w:cstheme="minorHAnsi"/>
          <w:b/>
        </w:rPr>
        <w:t>4</w:t>
      </w:r>
    </w:p>
    <w:p w:rsidR="007676CF" w:rsidRPr="0062173B" w:rsidRDefault="007676CF" w:rsidP="00754C04">
      <w:pPr>
        <w:pStyle w:val="NoSpacing"/>
        <w:jc w:val="both"/>
        <w:rPr>
          <w:rFonts w:asciiTheme="minorHAnsi" w:hAnsiTheme="minorHAnsi" w:cstheme="minorHAnsi"/>
          <w:b/>
        </w:rPr>
      </w:pP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 xml:space="preserve">(Minutes </w:t>
      </w:r>
      <w:r w:rsidR="00FB3CCE" w:rsidRPr="0062173B">
        <w:rPr>
          <w:rFonts w:asciiTheme="minorHAnsi" w:hAnsiTheme="minorHAnsi" w:cstheme="minorHAnsi"/>
          <w:b/>
        </w:rPr>
        <w:t>1</w:t>
      </w:r>
      <w:r w:rsidR="008F40E1" w:rsidRPr="0062173B">
        <w:rPr>
          <w:rFonts w:asciiTheme="minorHAnsi" w:hAnsiTheme="minorHAnsi" w:cstheme="minorHAnsi"/>
          <w:b/>
        </w:rPr>
        <w:t>4</w:t>
      </w:r>
      <w:r w:rsidR="008314AC" w:rsidRPr="0062173B">
        <w:rPr>
          <w:rFonts w:asciiTheme="minorHAnsi" w:hAnsiTheme="minorHAnsi" w:cstheme="minorHAnsi"/>
          <w:b/>
        </w:rPr>
        <w:t>.</w:t>
      </w:r>
      <w:r w:rsidR="000F0FF3" w:rsidRPr="0062173B">
        <w:rPr>
          <w:rFonts w:asciiTheme="minorHAnsi" w:hAnsiTheme="minorHAnsi" w:cstheme="minorHAnsi"/>
          <w:b/>
        </w:rPr>
        <w:t>3</w:t>
      </w:r>
      <w:r w:rsidR="007C40BB" w:rsidRPr="0062173B">
        <w:rPr>
          <w:rFonts w:asciiTheme="minorHAnsi" w:hAnsiTheme="minorHAnsi" w:cstheme="minorHAnsi"/>
          <w:b/>
        </w:rPr>
        <w:t>8</w:t>
      </w:r>
      <w:r w:rsidR="008314AC" w:rsidRPr="0062173B">
        <w:rPr>
          <w:rFonts w:asciiTheme="minorHAnsi" w:hAnsiTheme="minorHAnsi" w:cstheme="minorHAnsi"/>
          <w:b/>
        </w:rPr>
        <w:t xml:space="preserve">– </w:t>
      </w:r>
      <w:r w:rsidR="00FB3CCE" w:rsidRPr="0062173B">
        <w:rPr>
          <w:rFonts w:asciiTheme="minorHAnsi" w:hAnsiTheme="minorHAnsi" w:cstheme="minorHAnsi"/>
          <w:b/>
        </w:rPr>
        <w:t>1</w:t>
      </w:r>
      <w:r w:rsidR="008F40E1" w:rsidRPr="0062173B">
        <w:rPr>
          <w:rFonts w:asciiTheme="minorHAnsi" w:hAnsiTheme="minorHAnsi" w:cstheme="minorHAnsi"/>
          <w:b/>
        </w:rPr>
        <w:t>4</w:t>
      </w:r>
      <w:r w:rsidR="008314AC" w:rsidRPr="0062173B">
        <w:rPr>
          <w:rFonts w:asciiTheme="minorHAnsi" w:hAnsiTheme="minorHAnsi" w:cstheme="minorHAnsi"/>
          <w:b/>
        </w:rPr>
        <w:t>.</w:t>
      </w:r>
      <w:r w:rsidR="00E1110F" w:rsidRPr="0062173B">
        <w:rPr>
          <w:rFonts w:asciiTheme="minorHAnsi" w:hAnsiTheme="minorHAnsi" w:cstheme="minorHAnsi"/>
          <w:b/>
        </w:rPr>
        <w:t>86</w:t>
      </w:r>
      <w:r w:rsidRPr="0062173B">
        <w:rPr>
          <w:rFonts w:asciiTheme="minorHAnsi" w:hAnsiTheme="minorHAnsi" w:cstheme="minorHAnsi"/>
          <w:b/>
        </w:rPr>
        <w:t>)</w:t>
      </w:r>
    </w:p>
    <w:p w:rsidR="007676CF" w:rsidRPr="0062173B" w:rsidRDefault="007676CF" w:rsidP="00754C04">
      <w:pPr>
        <w:pStyle w:val="NoSpacing"/>
        <w:jc w:val="both"/>
        <w:rPr>
          <w:rFonts w:asciiTheme="minorHAnsi" w:hAnsiTheme="minorHAnsi" w:cstheme="minorHAnsi"/>
          <w:b/>
        </w:rPr>
      </w:pPr>
    </w:p>
    <w:p w:rsidR="007676CF" w:rsidRPr="0062173B" w:rsidRDefault="007676CF" w:rsidP="00754C04">
      <w:pPr>
        <w:pStyle w:val="NoSpacing"/>
        <w:jc w:val="both"/>
        <w:rPr>
          <w:rFonts w:asciiTheme="minorHAnsi" w:hAnsiTheme="minorHAnsi" w:cstheme="minorHAnsi"/>
        </w:rPr>
      </w:pPr>
      <w:r w:rsidRPr="0062173B">
        <w:rPr>
          <w:rFonts w:asciiTheme="minorHAnsi" w:hAnsiTheme="minorHAnsi" w:cstheme="minorHAnsi"/>
          <w:b/>
        </w:rPr>
        <w:t>Present:</w:t>
      </w:r>
      <w:r w:rsidRPr="0062173B">
        <w:rPr>
          <w:rFonts w:asciiTheme="minorHAnsi" w:hAnsiTheme="minorHAnsi" w:cstheme="minorHAnsi"/>
          <w:b/>
        </w:rPr>
        <w:tab/>
      </w:r>
      <w:r w:rsidRPr="0062173B">
        <w:rPr>
          <w:rFonts w:asciiTheme="minorHAnsi" w:hAnsiTheme="minorHAnsi" w:cstheme="minorHAnsi"/>
        </w:rPr>
        <w:t xml:space="preserve">Mr </w:t>
      </w:r>
      <w:r w:rsidR="00AA23BB" w:rsidRPr="0062173B">
        <w:rPr>
          <w:rFonts w:asciiTheme="minorHAnsi" w:hAnsiTheme="minorHAnsi" w:cstheme="minorHAnsi"/>
        </w:rPr>
        <w:t>Antony Brian</w:t>
      </w:r>
      <w:r w:rsidRPr="0062173B">
        <w:rPr>
          <w:rFonts w:asciiTheme="minorHAnsi" w:hAnsiTheme="minorHAnsi" w:cstheme="minorHAnsi"/>
        </w:rPr>
        <w:t>, Chair</w:t>
      </w:r>
    </w:p>
    <w:p w:rsidR="007676CF" w:rsidRPr="0062173B" w:rsidRDefault="007676CF" w:rsidP="00754C04">
      <w:pPr>
        <w:pStyle w:val="NoSpacing"/>
        <w:ind w:left="1418" w:hanging="1418"/>
        <w:jc w:val="both"/>
        <w:rPr>
          <w:rFonts w:asciiTheme="minorHAnsi" w:hAnsiTheme="minorHAnsi" w:cstheme="minorHAnsi"/>
        </w:rPr>
      </w:pPr>
      <w:r w:rsidRPr="0062173B">
        <w:rPr>
          <w:rFonts w:asciiTheme="minorHAnsi" w:hAnsiTheme="minorHAnsi" w:cstheme="minorHAnsi"/>
        </w:rPr>
        <w:tab/>
      </w:r>
      <w:r w:rsidR="00787ABA" w:rsidRPr="0062173B">
        <w:rPr>
          <w:rFonts w:asciiTheme="minorHAnsi" w:hAnsiTheme="minorHAnsi" w:cstheme="minorHAnsi"/>
        </w:rPr>
        <w:t xml:space="preserve">Mrs Rhona Baillie, </w:t>
      </w:r>
      <w:r w:rsidRPr="0062173B">
        <w:rPr>
          <w:rFonts w:asciiTheme="minorHAnsi" w:hAnsiTheme="minorHAnsi" w:cstheme="minorHAnsi"/>
        </w:rPr>
        <w:t>Mrs Hazel Brooke</w:t>
      </w:r>
      <w:r w:rsidR="000E6A66" w:rsidRPr="0062173B">
        <w:rPr>
          <w:rFonts w:asciiTheme="minorHAnsi" w:hAnsiTheme="minorHAnsi" w:cstheme="minorHAnsi"/>
        </w:rPr>
        <w:t xml:space="preserve"> (Vice-Chair)</w:t>
      </w:r>
      <w:r w:rsidRPr="0062173B">
        <w:rPr>
          <w:rFonts w:asciiTheme="minorHAnsi" w:hAnsiTheme="minorHAnsi" w:cstheme="minorHAnsi"/>
        </w:rPr>
        <w:t>,</w:t>
      </w:r>
      <w:r w:rsidR="00CF66FB" w:rsidRPr="0062173B">
        <w:rPr>
          <w:rFonts w:asciiTheme="minorHAnsi" w:hAnsiTheme="minorHAnsi" w:cstheme="minorHAnsi"/>
        </w:rPr>
        <w:t xml:space="preserve"> </w:t>
      </w:r>
      <w:r w:rsidR="000F0FF3" w:rsidRPr="0062173B">
        <w:rPr>
          <w:rFonts w:asciiTheme="minorHAnsi" w:hAnsiTheme="minorHAnsi" w:cstheme="minorHAnsi"/>
        </w:rPr>
        <w:t>D</w:t>
      </w:r>
      <w:r w:rsidR="00CF66FB" w:rsidRPr="0062173B">
        <w:rPr>
          <w:rFonts w:asciiTheme="minorHAnsi" w:hAnsiTheme="minorHAnsi" w:cstheme="minorHAnsi"/>
        </w:rPr>
        <w:t xml:space="preserve">r </w:t>
      </w:r>
      <w:r w:rsidR="007C40BB" w:rsidRPr="0062173B">
        <w:rPr>
          <w:rFonts w:asciiTheme="minorHAnsi" w:hAnsiTheme="minorHAnsi" w:cstheme="minorHAnsi"/>
        </w:rPr>
        <w:t>Douglas</w:t>
      </w:r>
      <w:r w:rsidR="00CF66FB" w:rsidRPr="0062173B">
        <w:rPr>
          <w:rFonts w:asciiTheme="minorHAnsi" w:hAnsiTheme="minorHAnsi" w:cstheme="minorHAnsi"/>
        </w:rPr>
        <w:t xml:space="preserve"> Chalmers,</w:t>
      </w:r>
      <w:r w:rsidRPr="0062173B">
        <w:rPr>
          <w:rFonts w:asciiTheme="minorHAnsi" w:hAnsiTheme="minorHAnsi" w:cstheme="minorHAnsi"/>
        </w:rPr>
        <w:t xml:space="preserve"> </w:t>
      </w:r>
      <w:r w:rsidR="00AA23BB" w:rsidRPr="0062173B">
        <w:rPr>
          <w:rFonts w:asciiTheme="minorHAnsi" w:hAnsiTheme="minorHAnsi" w:cstheme="minorHAnsi"/>
        </w:rPr>
        <w:t xml:space="preserve">Mr John Chapman, Professor Pamela Gillies, </w:t>
      </w:r>
      <w:r w:rsidR="00CE31EE" w:rsidRPr="0062173B">
        <w:rPr>
          <w:rFonts w:asciiTheme="minorHAnsi" w:hAnsiTheme="minorHAnsi" w:cstheme="minorHAnsi"/>
        </w:rPr>
        <w:t xml:space="preserve">Mr Ian Gracie, </w:t>
      </w:r>
      <w:r w:rsidR="00AA23BB" w:rsidRPr="0062173B">
        <w:rPr>
          <w:rFonts w:asciiTheme="minorHAnsi" w:hAnsiTheme="minorHAnsi" w:cstheme="minorHAnsi"/>
        </w:rPr>
        <w:t xml:space="preserve"> </w:t>
      </w:r>
      <w:r w:rsidR="00CE31EE" w:rsidRPr="0062173B">
        <w:rPr>
          <w:rFonts w:asciiTheme="minorHAnsi" w:hAnsiTheme="minorHAnsi" w:cstheme="minorHAnsi"/>
        </w:rPr>
        <w:t>Mr Gordon Jack</w:t>
      </w:r>
      <w:r w:rsidR="00AA23BB" w:rsidRPr="0062173B">
        <w:rPr>
          <w:rFonts w:asciiTheme="minorHAnsi" w:hAnsiTheme="minorHAnsi" w:cstheme="minorHAnsi"/>
        </w:rPr>
        <w:t xml:space="preserve">, </w:t>
      </w:r>
      <w:r w:rsidR="00AF6CE4" w:rsidRPr="0062173B">
        <w:rPr>
          <w:rFonts w:asciiTheme="minorHAnsi" w:hAnsiTheme="minorHAnsi" w:cstheme="minorHAnsi"/>
        </w:rPr>
        <w:t>Dr</w:t>
      </w:r>
      <w:r w:rsidR="00CE31EE" w:rsidRPr="0062173B">
        <w:rPr>
          <w:rFonts w:asciiTheme="minorHAnsi" w:hAnsiTheme="minorHAnsi" w:cstheme="minorHAnsi"/>
        </w:rPr>
        <w:t xml:space="preserve"> James Miller</w:t>
      </w:r>
      <w:r w:rsidR="00CF66FB" w:rsidRPr="0062173B">
        <w:rPr>
          <w:rFonts w:asciiTheme="minorHAnsi" w:hAnsiTheme="minorHAnsi" w:cstheme="minorHAnsi"/>
        </w:rPr>
        <w:t>,</w:t>
      </w:r>
      <w:r w:rsidR="000F0FF3" w:rsidRPr="0062173B">
        <w:rPr>
          <w:rFonts w:asciiTheme="minorHAnsi" w:hAnsiTheme="minorHAnsi" w:cstheme="minorHAnsi"/>
        </w:rPr>
        <w:t xml:space="preserve"> Miss Davena Rankin,</w:t>
      </w:r>
      <w:r w:rsidR="00CE31EE" w:rsidRPr="0062173B">
        <w:rPr>
          <w:rFonts w:asciiTheme="minorHAnsi" w:hAnsiTheme="minorHAnsi" w:cstheme="minorHAnsi"/>
        </w:rPr>
        <w:t xml:space="preserve"> </w:t>
      </w:r>
      <w:r w:rsidR="00E0732F" w:rsidRPr="0062173B">
        <w:rPr>
          <w:rFonts w:asciiTheme="minorHAnsi" w:hAnsiTheme="minorHAnsi" w:cstheme="minorHAnsi"/>
        </w:rPr>
        <w:t xml:space="preserve">Mr Michael Stephenson, </w:t>
      </w:r>
      <w:r w:rsidR="00AF6CE4" w:rsidRPr="0062173B">
        <w:rPr>
          <w:rFonts w:asciiTheme="minorHAnsi" w:hAnsiTheme="minorHAnsi" w:cstheme="minorHAnsi"/>
        </w:rPr>
        <w:t>Mr Iain Stewart</w:t>
      </w:r>
      <w:r w:rsidR="00CF66FB" w:rsidRPr="0062173B">
        <w:rPr>
          <w:rFonts w:asciiTheme="minorHAnsi" w:hAnsiTheme="minorHAnsi" w:cstheme="minorHAnsi"/>
        </w:rPr>
        <w:t>,</w:t>
      </w:r>
      <w:r w:rsidR="00787ABA" w:rsidRPr="0062173B">
        <w:rPr>
          <w:rFonts w:asciiTheme="minorHAnsi" w:hAnsiTheme="minorHAnsi" w:cstheme="minorHAnsi"/>
        </w:rPr>
        <w:t xml:space="preserve"> Mr David Wallace, </w:t>
      </w:r>
      <w:r w:rsidR="00CF66FB" w:rsidRPr="0062173B">
        <w:rPr>
          <w:rFonts w:asciiTheme="minorHAnsi" w:hAnsiTheme="minorHAnsi" w:cstheme="minorHAnsi"/>
        </w:rPr>
        <w:t xml:space="preserve"> </w:t>
      </w:r>
      <w:r w:rsidR="00AF6CE4" w:rsidRPr="0062173B">
        <w:rPr>
          <w:rFonts w:asciiTheme="minorHAnsi" w:hAnsiTheme="minorHAnsi" w:cstheme="minorHAnsi"/>
        </w:rPr>
        <w:t>Mr Alistair Webster</w:t>
      </w:r>
      <w:r w:rsidR="00CF66FB" w:rsidRPr="0062173B">
        <w:rPr>
          <w:rFonts w:asciiTheme="minorHAnsi" w:hAnsiTheme="minorHAnsi" w:cstheme="minorHAnsi"/>
        </w:rPr>
        <w:t xml:space="preserve">, </w:t>
      </w:r>
      <w:r w:rsidR="00E0732F" w:rsidRPr="0062173B">
        <w:rPr>
          <w:rFonts w:asciiTheme="minorHAnsi" w:hAnsiTheme="minorHAnsi" w:cstheme="minorHAnsi"/>
        </w:rPr>
        <w:t>D</w:t>
      </w:r>
      <w:r w:rsidR="00CF66FB" w:rsidRPr="0062173B">
        <w:rPr>
          <w:rFonts w:asciiTheme="minorHAnsi" w:hAnsiTheme="minorHAnsi" w:cstheme="minorHAnsi"/>
        </w:rPr>
        <w:t>r Bob Winter, Professor Stephanie Young</w:t>
      </w:r>
    </w:p>
    <w:p w:rsidR="00AF6CE4" w:rsidRPr="0062173B" w:rsidRDefault="00AF6CE4" w:rsidP="00754C04">
      <w:pPr>
        <w:pStyle w:val="NoSpacing"/>
        <w:ind w:left="1418" w:hanging="1418"/>
        <w:jc w:val="both"/>
        <w:rPr>
          <w:rFonts w:asciiTheme="minorHAnsi" w:hAnsiTheme="minorHAnsi" w:cstheme="minorHAnsi"/>
          <w:b/>
        </w:rPr>
      </w:pPr>
    </w:p>
    <w:p w:rsidR="007676CF" w:rsidRPr="0062173B" w:rsidRDefault="007676CF" w:rsidP="00754C04">
      <w:pPr>
        <w:pStyle w:val="NoSpacing"/>
        <w:ind w:left="1418" w:hanging="1418"/>
        <w:jc w:val="both"/>
        <w:rPr>
          <w:rFonts w:asciiTheme="minorHAnsi" w:hAnsiTheme="minorHAnsi" w:cstheme="minorHAnsi"/>
        </w:rPr>
      </w:pPr>
      <w:r w:rsidRPr="0062173B">
        <w:rPr>
          <w:rFonts w:asciiTheme="minorHAnsi" w:hAnsiTheme="minorHAnsi" w:cstheme="minorHAnsi"/>
          <w:b/>
        </w:rPr>
        <w:t>Apologies:</w:t>
      </w:r>
      <w:r w:rsidRPr="0062173B">
        <w:rPr>
          <w:rFonts w:asciiTheme="minorHAnsi" w:hAnsiTheme="minorHAnsi" w:cstheme="minorHAnsi"/>
          <w:b/>
        </w:rPr>
        <w:tab/>
      </w:r>
      <w:r w:rsidR="00787ABA" w:rsidRPr="0062173B">
        <w:rPr>
          <w:rFonts w:asciiTheme="minorHAnsi" w:hAnsiTheme="minorHAnsi" w:cstheme="minorHAnsi"/>
        </w:rPr>
        <w:t>Ms Laura Gordon, Mr Tom Halpin</w:t>
      </w:r>
      <w:r w:rsidR="00787ABA" w:rsidRPr="0062173B">
        <w:rPr>
          <w:rFonts w:asciiTheme="minorHAnsi" w:hAnsiTheme="minorHAnsi" w:cstheme="minorHAnsi"/>
          <w:b/>
        </w:rPr>
        <w:t>,</w:t>
      </w:r>
      <w:r w:rsidR="00787ABA" w:rsidRPr="0062173B">
        <w:rPr>
          <w:rFonts w:asciiTheme="minorHAnsi" w:hAnsiTheme="minorHAnsi" w:cstheme="minorHAnsi"/>
        </w:rPr>
        <w:t xml:space="preserve"> Mr Austin Lafferty</w:t>
      </w:r>
    </w:p>
    <w:p w:rsidR="007676CF" w:rsidRPr="0062173B" w:rsidRDefault="007676CF" w:rsidP="00754C04">
      <w:pPr>
        <w:pStyle w:val="NoSpacing"/>
        <w:jc w:val="both"/>
        <w:rPr>
          <w:rFonts w:asciiTheme="minorHAnsi" w:hAnsiTheme="minorHAnsi" w:cstheme="minorHAnsi"/>
        </w:rPr>
      </w:pPr>
    </w:p>
    <w:p w:rsidR="00D770DD" w:rsidRPr="0062173B" w:rsidRDefault="007676CF" w:rsidP="007C40BB">
      <w:pPr>
        <w:pStyle w:val="NoSpacing"/>
        <w:ind w:left="1440" w:hanging="1440"/>
        <w:jc w:val="both"/>
        <w:rPr>
          <w:rFonts w:asciiTheme="minorHAnsi" w:hAnsiTheme="minorHAnsi" w:cstheme="minorHAnsi"/>
        </w:rPr>
      </w:pPr>
      <w:r w:rsidRPr="0062173B">
        <w:rPr>
          <w:rFonts w:asciiTheme="minorHAnsi" w:hAnsiTheme="minorHAnsi" w:cstheme="minorHAnsi"/>
          <w:b/>
        </w:rPr>
        <w:t xml:space="preserve">In attendance: </w:t>
      </w:r>
      <w:r w:rsidRPr="0062173B">
        <w:rPr>
          <w:rFonts w:asciiTheme="minorHAnsi" w:hAnsiTheme="minorHAnsi" w:cstheme="minorHAnsi"/>
          <w:b/>
        </w:rPr>
        <w:tab/>
      </w:r>
      <w:r w:rsidRPr="0062173B">
        <w:rPr>
          <w:rFonts w:asciiTheme="minorHAnsi" w:hAnsiTheme="minorHAnsi" w:cstheme="minorHAnsi"/>
        </w:rPr>
        <w:t xml:space="preserve">Ms Jan Hulme, University Secretary </w:t>
      </w:r>
      <w:r w:rsidR="003A01F4" w:rsidRPr="0062173B">
        <w:rPr>
          <w:rFonts w:asciiTheme="minorHAnsi" w:hAnsiTheme="minorHAnsi" w:cstheme="minorHAnsi"/>
        </w:rPr>
        <w:t xml:space="preserve">and </w:t>
      </w:r>
      <w:r w:rsidRPr="0062173B">
        <w:rPr>
          <w:rFonts w:asciiTheme="minorHAnsi" w:hAnsiTheme="minorHAnsi" w:cstheme="minorHAnsi"/>
        </w:rPr>
        <w:t>Vice</w:t>
      </w:r>
      <w:r w:rsidR="007A040F" w:rsidRPr="0062173B">
        <w:rPr>
          <w:rFonts w:asciiTheme="minorHAnsi" w:hAnsiTheme="minorHAnsi" w:cstheme="minorHAnsi"/>
        </w:rPr>
        <w:t xml:space="preserve"> </w:t>
      </w:r>
      <w:r w:rsidRPr="0062173B">
        <w:rPr>
          <w:rFonts w:asciiTheme="minorHAnsi" w:hAnsiTheme="minorHAnsi" w:cstheme="minorHAnsi"/>
        </w:rPr>
        <w:t xml:space="preserve">Principal </w:t>
      </w:r>
      <w:r w:rsidR="00276A23" w:rsidRPr="0062173B">
        <w:rPr>
          <w:rFonts w:asciiTheme="minorHAnsi" w:hAnsiTheme="minorHAnsi" w:cstheme="minorHAnsi"/>
        </w:rPr>
        <w:t>(</w:t>
      </w:r>
      <w:r w:rsidRPr="0062173B">
        <w:rPr>
          <w:rFonts w:asciiTheme="minorHAnsi" w:hAnsiTheme="minorHAnsi" w:cstheme="minorHAnsi"/>
        </w:rPr>
        <w:t>Governance</w:t>
      </w:r>
      <w:r w:rsidR="00276A23" w:rsidRPr="0062173B">
        <w:rPr>
          <w:rFonts w:asciiTheme="minorHAnsi" w:hAnsiTheme="minorHAnsi" w:cstheme="minorHAnsi"/>
        </w:rPr>
        <w:t>)</w:t>
      </w:r>
    </w:p>
    <w:p w:rsidR="00C41330" w:rsidRPr="0062173B" w:rsidRDefault="00C41330" w:rsidP="007C40BB">
      <w:pPr>
        <w:pStyle w:val="NoSpacing"/>
        <w:ind w:left="1440" w:hanging="1440"/>
        <w:jc w:val="both"/>
        <w:rPr>
          <w:rFonts w:asciiTheme="minorHAnsi" w:hAnsiTheme="minorHAnsi" w:cstheme="minorHAnsi"/>
        </w:rPr>
      </w:pPr>
      <w:r w:rsidRPr="0062173B">
        <w:rPr>
          <w:rFonts w:asciiTheme="minorHAnsi" w:hAnsiTheme="minorHAnsi" w:cstheme="minorHAnsi"/>
          <w:b/>
        </w:rPr>
        <w:tab/>
      </w:r>
      <w:r w:rsidRPr="0062173B">
        <w:rPr>
          <w:rFonts w:asciiTheme="minorHAnsi" w:hAnsiTheme="minorHAnsi" w:cstheme="minorHAnsi"/>
        </w:rPr>
        <w:t xml:space="preserve">Mrs Claire Hulsen, Director of Strategy and Planning (for items </w:t>
      </w:r>
      <w:r w:rsidR="007A040F" w:rsidRPr="0062173B">
        <w:rPr>
          <w:rFonts w:asciiTheme="minorHAnsi" w:hAnsiTheme="minorHAnsi" w:cstheme="minorHAnsi"/>
        </w:rPr>
        <w:t>12 and 13)</w:t>
      </w:r>
    </w:p>
    <w:p w:rsidR="00787ABA" w:rsidRPr="0062173B" w:rsidRDefault="00D770DD" w:rsidP="00D770DD">
      <w:pPr>
        <w:pStyle w:val="NoSpacing"/>
        <w:ind w:left="720" w:firstLine="720"/>
        <w:jc w:val="both"/>
        <w:rPr>
          <w:rFonts w:asciiTheme="minorHAnsi" w:hAnsiTheme="minorHAnsi" w:cstheme="minorHAnsi"/>
        </w:rPr>
      </w:pPr>
      <w:r w:rsidRPr="0062173B">
        <w:rPr>
          <w:rFonts w:asciiTheme="minorHAnsi" w:hAnsiTheme="minorHAnsi" w:cstheme="minorHAnsi"/>
        </w:rPr>
        <w:t>Mr Alex Killick, Director of People</w:t>
      </w:r>
    </w:p>
    <w:p w:rsidR="007676CF" w:rsidRPr="0062173B" w:rsidRDefault="00787ABA" w:rsidP="00D770DD">
      <w:pPr>
        <w:pStyle w:val="NoSpacing"/>
        <w:ind w:left="720" w:firstLine="720"/>
        <w:jc w:val="both"/>
        <w:rPr>
          <w:rFonts w:asciiTheme="minorHAnsi" w:hAnsiTheme="minorHAnsi" w:cstheme="minorHAnsi"/>
        </w:rPr>
      </w:pPr>
      <w:r w:rsidRPr="0062173B">
        <w:rPr>
          <w:rFonts w:asciiTheme="minorHAnsi" w:hAnsiTheme="minorHAnsi" w:cstheme="minorHAnsi"/>
        </w:rPr>
        <w:t>Professor Mike Mannion, Vice</w:t>
      </w:r>
      <w:r w:rsidR="007A040F" w:rsidRPr="0062173B">
        <w:rPr>
          <w:rFonts w:asciiTheme="minorHAnsi" w:hAnsiTheme="minorHAnsi" w:cstheme="minorHAnsi"/>
        </w:rPr>
        <w:t xml:space="preserve"> </w:t>
      </w:r>
      <w:r w:rsidRPr="0062173B">
        <w:rPr>
          <w:rFonts w:asciiTheme="minorHAnsi" w:hAnsiTheme="minorHAnsi" w:cstheme="minorHAnsi"/>
        </w:rPr>
        <w:t>Principal &amp; Pro Vice Chancellor Research</w:t>
      </w:r>
      <w:r w:rsidR="007676CF" w:rsidRPr="0062173B">
        <w:rPr>
          <w:rFonts w:asciiTheme="minorHAnsi" w:hAnsiTheme="minorHAnsi" w:cstheme="minorHAnsi"/>
          <w:b/>
        </w:rPr>
        <w:tab/>
      </w:r>
      <w:r w:rsidR="007676CF" w:rsidRPr="0062173B">
        <w:rPr>
          <w:rFonts w:asciiTheme="minorHAnsi" w:hAnsiTheme="minorHAnsi" w:cstheme="minorHAnsi"/>
          <w:b/>
        </w:rPr>
        <w:tab/>
      </w:r>
      <w:r w:rsidR="007676CF" w:rsidRPr="0062173B">
        <w:rPr>
          <w:rFonts w:asciiTheme="minorHAnsi" w:hAnsiTheme="minorHAnsi" w:cstheme="minorHAnsi"/>
        </w:rPr>
        <w:t xml:space="preserve"> </w:t>
      </w:r>
    </w:p>
    <w:p w:rsidR="00D770DD" w:rsidRPr="0062173B" w:rsidRDefault="00D770DD" w:rsidP="003A01F4">
      <w:pPr>
        <w:pStyle w:val="NoSpacing"/>
        <w:ind w:left="1440"/>
        <w:jc w:val="both"/>
        <w:rPr>
          <w:rFonts w:asciiTheme="minorHAnsi" w:hAnsiTheme="minorHAnsi" w:cstheme="minorHAnsi"/>
        </w:rPr>
      </w:pPr>
      <w:r w:rsidRPr="0062173B">
        <w:rPr>
          <w:rFonts w:asciiTheme="minorHAnsi" w:hAnsiTheme="minorHAnsi" w:cstheme="minorHAnsi"/>
        </w:rPr>
        <w:t>Mr Gerry Milne, Chief Financial Officer</w:t>
      </w:r>
      <w:r w:rsidR="003A01F4" w:rsidRPr="0062173B">
        <w:rPr>
          <w:rFonts w:asciiTheme="minorHAnsi" w:hAnsiTheme="minorHAnsi" w:cstheme="minorHAnsi"/>
        </w:rPr>
        <w:t xml:space="preserve"> and Vice-Principal </w:t>
      </w:r>
      <w:r w:rsidR="00787ABA" w:rsidRPr="0062173B">
        <w:rPr>
          <w:rFonts w:asciiTheme="minorHAnsi" w:hAnsiTheme="minorHAnsi" w:cstheme="minorHAnsi"/>
        </w:rPr>
        <w:t>Infrastructure</w:t>
      </w:r>
    </w:p>
    <w:p w:rsidR="00E33B04" w:rsidRPr="0062173B" w:rsidRDefault="00D770DD" w:rsidP="00E33B04">
      <w:pPr>
        <w:pStyle w:val="NoSpacing"/>
        <w:ind w:left="720" w:firstLine="720"/>
        <w:jc w:val="both"/>
        <w:rPr>
          <w:rFonts w:asciiTheme="minorHAnsi" w:hAnsiTheme="minorHAnsi" w:cstheme="minorHAnsi"/>
        </w:rPr>
      </w:pPr>
      <w:r w:rsidRPr="0062173B">
        <w:rPr>
          <w:rFonts w:asciiTheme="minorHAnsi" w:hAnsiTheme="minorHAnsi" w:cstheme="minorHAnsi"/>
        </w:rPr>
        <w:t xml:space="preserve">Professor Lesley Sawers, </w:t>
      </w:r>
      <w:r w:rsidR="00E33B04" w:rsidRPr="0062173B">
        <w:rPr>
          <w:rFonts w:asciiTheme="minorHAnsi" w:hAnsiTheme="minorHAnsi" w:cstheme="minorHAnsi"/>
        </w:rPr>
        <w:t xml:space="preserve">Vice-Principal and Pro Vice Chancellor Business Development, Enterprise </w:t>
      </w:r>
    </w:p>
    <w:p w:rsidR="00E33B04" w:rsidRPr="0062173B" w:rsidRDefault="00E33B04" w:rsidP="00E33B04">
      <w:pPr>
        <w:pStyle w:val="NoSpacing"/>
        <w:ind w:left="720" w:firstLine="720"/>
        <w:jc w:val="both"/>
        <w:rPr>
          <w:rFonts w:asciiTheme="minorHAnsi" w:hAnsiTheme="minorHAnsi" w:cstheme="minorHAnsi"/>
        </w:rPr>
      </w:pPr>
      <w:proofErr w:type="gramStart"/>
      <w:r w:rsidRPr="0062173B">
        <w:rPr>
          <w:rFonts w:asciiTheme="minorHAnsi" w:hAnsiTheme="minorHAnsi" w:cstheme="minorHAnsi"/>
        </w:rPr>
        <w:t>and</w:t>
      </w:r>
      <w:proofErr w:type="gramEnd"/>
      <w:r w:rsidRPr="0062173B">
        <w:rPr>
          <w:rFonts w:asciiTheme="minorHAnsi" w:hAnsiTheme="minorHAnsi" w:cstheme="minorHAnsi"/>
        </w:rPr>
        <w:t xml:space="preserve"> Innovation </w:t>
      </w:r>
    </w:p>
    <w:p w:rsidR="00D770DD" w:rsidRPr="0062173B" w:rsidRDefault="00D770DD" w:rsidP="00D770DD">
      <w:pPr>
        <w:pStyle w:val="NoSpacing"/>
        <w:ind w:left="720" w:firstLine="720"/>
        <w:jc w:val="both"/>
        <w:rPr>
          <w:rFonts w:asciiTheme="minorHAnsi" w:hAnsiTheme="minorHAnsi" w:cstheme="minorHAnsi"/>
        </w:rPr>
      </w:pPr>
      <w:r w:rsidRPr="0062173B">
        <w:rPr>
          <w:rFonts w:asciiTheme="minorHAnsi" w:hAnsiTheme="minorHAnsi" w:cstheme="minorHAnsi"/>
        </w:rPr>
        <w:t>Professor Karen Stanton,</w:t>
      </w:r>
      <w:r w:rsidR="003A01F4" w:rsidRPr="0062173B">
        <w:rPr>
          <w:rFonts w:asciiTheme="minorHAnsi" w:hAnsiTheme="minorHAnsi" w:cstheme="minorHAnsi"/>
        </w:rPr>
        <w:t xml:space="preserve"> </w:t>
      </w:r>
      <w:r w:rsidR="00787ABA" w:rsidRPr="0062173B">
        <w:rPr>
          <w:rFonts w:asciiTheme="minorHAnsi" w:hAnsiTheme="minorHAnsi" w:cstheme="minorHAnsi"/>
        </w:rPr>
        <w:t xml:space="preserve">Deputy </w:t>
      </w:r>
      <w:r w:rsidR="003A01F4" w:rsidRPr="0062173B">
        <w:rPr>
          <w:rFonts w:asciiTheme="minorHAnsi" w:hAnsiTheme="minorHAnsi" w:cstheme="minorHAnsi"/>
        </w:rPr>
        <w:t>Vice</w:t>
      </w:r>
      <w:r w:rsidR="00787ABA" w:rsidRPr="0062173B">
        <w:rPr>
          <w:rFonts w:asciiTheme="minorHAnsi" w:hAnsiTheme="minorHAnsi" w:cstheme="minorHAnsi"/>
        </w:rPr>
        <w:t xml:space="preserve"> Chancellor</w:t>
      </w:r>
      <w:r w:rsidR="003A01F4" w:rsidRPr="0062173B">
        <w:rPr>
          <w:rFonts w:asciiTheme="minorHAnsi" w:hAnsiTheme="minorHAnsi" w:cstheme="minorHAnsi"/>
        </w:rPr>
        <w:t xml:space="preserve"> </w:t>
      </w:r>
    </w:p>
    <w:p w:rsidR="007A040F" w:rsidRPr="0062173B" w:rsidRDefault="007A040F" w:rsidP="007A040F">
      <w:pPr>
        <w:pStyle w:val="NoSpacing"/>
        <w:ind w:left="1440"/>
        <w:jc w:val="both"/>
        <w:rPr>
          <w:rFonts w:asciiTheme="minorHAnsi" w:hAnsiTheme="minorHAnsi" w:cstheme="minorHAnsi"/>
        </w:rPr>
      </w:pPr>
      <w:r w:rsidRPr="0062173B">
        <w:rPr>
          <w:rFonts w:asciiTheme="minorHAnsi" w:hAnsiTheme="minorHAnsi" w:cstheme="minorHAnsi"/>
        </w:rPr>
        <w:t xml:space="preserve">Professor Valerie Webster Vice </w:t>
      </w:r>
      <w:proofErr w:type="gramStart"/>
      <w:r w:rsidRPr="0062173B">
        <w:rPr>
          <w:rFonts w:asciiTheme="minorHAnsi" w:hAnsiTheme="minorHAnsi" w:cstheme="minorHAnsi"/>
        </w:rPr>
        <w:t>Principal &amp;</w:t>
      </w:r>
      <w:proofErr w:type="gramEnd"/>
      <w:r w:rsidRPr="0062173B">
        <w:rPr>
          <w:rFonts w:asciiTheme="minorHAnsi" w:hAnsiTheme="minorHAnsi" w:cstheme="minorHAnsi"/>
        </w:rPr>
        <w:t xml:space="preserve"> Pro </w:t>
      </w:r>
      <w:r w:rsidRPr="0062173B">
        <w:rPr>
          <w:rFonts w:asciiTheme="minorHAnsi" w:hAnsiTheme="minorHAnsi" w:cs="Arial"/>
          <w:shd w:val="clear" w:color="auto" w:fill="FFFFFF"/>
        </w:rPr>
        <w:t>Vice-Chancellor Communications &amp; External Relations</w:t>
      </w:r>
      <w:r w:rsidR="00AA23BB" w:rsidRPr="0062173B">
        <w:rPr>
          <w:rFonts w:asciiTheme="minorHAnsi" w:hAnsiTheme="minorHAnsi" w:cstheme="minorHAnsi"/>
        </w:rPr>
        <w:tab/>
      </w:r>
    </w:p>
    <w:p w:rsidR="00787ABA" w:rsidRPr="0062173B" w:rsidRDefault="00AA23BB" w:rsidP="00787ABA">
      <w:pPr>
        <w:pStyle w:val="NoSpacing"/>
        <w:ind w:left="720" w:firstLine="720"/>
        <w:jc w:val="both"/>
        <w:rPr>
          <w:rFonts w:asciiTheme="minorHAnsi" w:hAnsiTheme="minorHAnsi" w:cstheme="minorHAnsi"/>
        </w:rPr>
      </w:pPr>
      <w:r w:rsidRPr="0062173B">
        <w:rPr>
          <w:rFonts w:asciiTheme="minorHAnsi" w:hAnsiTheme="minorHAnsi" w:cstheme="minorHAnsi"/>
        </w:rPr>
        <w:t>Professor John Wilson</w:t>
      </w:r>
      <w:r w:rsidR="00C41330" w:rsidRPr="0062173B">
        <w:rPr>
          <w:rFonts w:asciiTheme="minorHAnsi" w:hAnsiTheme="minorHAnsi" w:cstheme="minorHAnsi"/>
        </w:rPr>
        <w:t xml:space="preserve"> Vice</w:t>
      </w:r>
      <w:r w:rsidR="007A040F" w:rsidRPr="0062173B">
        <w:rPr>
          <w:rFonts w:asciiTheme="minorHAnsi" w:hAnsiTheme="minorHAnsi" w:cstheme="minorHAnsi"/>
        </w:rPr>
        <w:t xml:space="preserve"> </w:t>
      </w:r>
      <w:proofErr w:type="gramStart"/>
      <w:r w:rsidR="00C41330" w:rsidRPr="0062173B">
        <w:rPr>
          <w:rFonts w:asciiTheme="minorHAnsi" w:hAnsiTheme="minorHAnsi" w:cstheme="minorHAnsi"/>
        </w:rPr>
        <w:t>Principal &amp;</w:t>
      </w:r>
      <w:proofErr w:type="gramEnd"/>
      <w:r w:rsidR="00C41330" w:rsidRPr="0062173B">
        <w:rPr>
          <w:rFonts w:asciiTheme="minorHAnsi" w:hAnsiTheme="minorHAnsi" w:cstheme="minorHAnsi"/>
        </w:rPr>
        <w:t xml:space="preserve"> Pro Vice</w:t>
      </w:r>
      <w:r w:rsidR="007A040F" w:rsidRPr="0062173B">
        <w:rPr>
          <w:rFonts w:asciiTheme="minorHAnsi" w:hAnsiTheme="minorHAnsi" w:cstheme="minorHAnsi"/>
        </w:rPr>
        <w:t>-</w:t>
      </w:r>
      <w:r w:rsidR="00C41330" w:rsidRPr="0062173B">
        <w:rPr>
          <w:rFonts w:asciiTheme="minorHAnsi" w:hAnsiTheme="minorHAnsi" w:cstheme="minorHAnsi"/>
        </w:rPr>
        <w:t xml:space="preserve"> Chancellor Student Experience  </w:t>
      </w:r>
    </w:p>
    <w:p w:rsidR="007676CF" w:rsidRPr="0062173B" w:rsidRDefault="007676CF" w:rsidP="00754C04">
      <w:pPr>
        <w:pStyle w:val="NoSpacing"/>
        <w:jc w:val="both"/>
        <w:rPr>
          <w:rFonts w:asciiTheme="minorHAnsi" w:hAnsiTheme="minorHAnsi" w:cstheme="minorHAnsi"/>
        </w:rPr>
      </w:pP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r w:rsidRPr="0062173B">
        <w:rPr>
          <w:rFonts w:asciiTheme="minorHAnsi" w:hAnsiTheme="minorHAnsi" w:cstheme="minorHAnsi"/>
        </w:rPr>
        <w:tab/>
      </w:r>
    </w:p>
    <w:p w:rsidR="007676CF" w:rsidRPr="0062173B" w:rsidRDefault="007676CF" w:rsidP="00754C04">
      <w:pPr>
        <w:pStyle w:val="NoSpacing"/>
        <w:jc w:val="both"/>
        <w:rPr>
          <w:rFonts w:asciiTheme="minorHAnsi" w:hAnsiTheme="minorHAnsi" w:cstheme="minorHAnsi"/>
        </w:rPr>
      </w:pPr>
      <w:r w:rsidRPr="0062173B">
        <w:rPr>
          <w:rFonts w:asciiTheme="minorHAnsi" w:hAnsiTheme="minorHAnsi" w:cstheme="minorHAnsi"/>
        </w:rPr>
        <w:tab/>
      </w:r>
      <w:r w:rsidRPr="0062173B">
        <w:rPr>
          <w:rFonts w:asciiTheme="minorHAnsi" w:hAnsiTheme="minorHAnsi" w:cstheme="minorHAnsi"/>
        </w:rPr>
        <w:tab/>
      </w:r>
      <w:r w:rsidR="005B23F9" w:rsidRPr="0062173B">
        <w:rPr>
          <w:rFonts w:asciiTheme="minorHAnsi" w:hAnsiTheme="minorHAnsi" w:cstheme="minorHAnsi"/>
        </w:rPr>
        <w:t>Ms Janice Bruce,</w:t>
      </w:r>
      <w:r w:rsidR="00AF6CE4" w:rsidRPr="0062173B">
        <w:rPr>
          <w:rFonts w:asciiTheme="minorHAnsi" w:hAnsiTheme="minorHAnsi" w:cstheme="minorHAnsi"/>
        </w:rPr>
        <w:t xml:space="preserve"> </w:t>
      </w:r>
      <w:r w:rsidRPr="0062173B">
        <w:rPr>
          <w:rFonts w:asciiTheme="minorHAnsi" w:hAnsiTheme="minorHAnsi" w:cstheme="minorHAnsi"/>
        </w:rPr>
        <w:t xml:space="preserve">Minute Secretary </w:t>
      </w:r>
    </w:p>
    <w:p w:rsidR="007676CF" w:rsidRPr="0062173B" w:rsidRDefault="007676CF" w:rsidP="00754C04">
      <w:pPr>
        <w:pStyle w:val="NoSpacing"/>
        <w:jc w:val="both"/>
        <w:rPr>
          <w:rFonts w:asciiTheme="minorHAnsi" w:hAnsiTheme="minorHAnsi" w:cstheme="minorHAnsi"/>
        </w:rPr>
      </w:pP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Chair’s Opening Remarks</w:t>
      </w:r>
    </w:p>
    <w:p w:rsidR="007676CF" w:rsidRPr="0062173B" w:rsidRDefault="007676CF" w:rsidP="00754C04">
      <w:pPr>
        <w:pStyle w:val="NoSpacing"/>
        <w:jc w:val="both"/>
        <w:rPr>
          <w:rFonts w:asciiTheme="minorHAnsi" w:hAnsiTheme="minorHAnsi" w:cstheme="minorHAnsi"/>
          <w:b/>
        </w:rPr>
      </w:pPr>
    </w:p>
    <w:p w:rsidR="00C3729F" w:rsidRPr="0062173B" w:rsidRDefault="00307EC3" w:rsidP="009A3F3B">
      <w:pPr>
        <w:pStyle w:val="NoSpacing"/>
        <w:numPr>
          <w:ilvl w:val="0"/>
          <w:numId w:val="41"/>
        </w:numPr>
        <w:ind w:left="630" w:hanging="630"/>
        <w:jc w:val="both"/>
        <w:rPr>
          <w:rFonts w:asciiTheme="minorHAnsi" w:hAnsiTheme="minorHAnsi" w:cstheme="minorHAnsi"/>
        </w:rPr>
      </w:pPr>
      <w:r w:rsidRPr="0062173B">
        <w:rPr>
          <w:rFonts w:asciiTheme="minorHAnsi" w:hAnsiTheme="minorHAnsi" w:cstheme="minorHAnsi"/>
        </w:rPr>
        <w:t>The Chair welcomed all present to the meeting</w:t>
      </w:r>
      <w:r w:rsidR="001B1573" w:rsidRPr="0062173B">
        <w:rPr>
          <w:rFonts w:asciiTheme="minorHAnsi" w:hAnsiTheme="minorHAnsi" w:cstheme="minorHAnsi"/>
        </w:rPr>
        <w:t>.</w:t>
      </w:r>
      <w:r w:rsidR="00FB3CCE" w:rsidRPr="0062173B">
        <w:rPr>
          <w:rFonts w:asciiTheme="minorHAnsi" w:hAnsiTheme="minorHAnsi" w:cstheme="minorHAnsi"/>
        </w:rPr>
        <w:t xml:space="preserve"> </w:t>
      </w:r>
    </w:p>
    <w:p w:rsidR="007E27D0" w:rsidRPr="0062173B" w:rsidRDefault="007E27D0" w:rsidP="00754C04">
      <w:pPr>
        <w:pStyle w:val="NoSpacing"/>
        <w:jc w:val="both"/>
        <w:rPr>
          <w:rFonts w:asciiTheme="minorHAnsi" w:hAnsiTheme="minorHAnsi" w:cstheme="minorHAnsi"/>
        </w:rPr>
      </w:pPr>
    </w:p>
    <w:p w:rsidR="00C3729F" w:rsidRPr="0062173B" w:rsidRDefault="009A3F3B" w:rsidP="00754C04">
      <w:pPr>
        <w:pStyle w:val="NoSpacing"/>
        <w:numPr>
          <w:ilvl w:val="0"/>
          <w:numId w:val="41"/>
        </w:numPr>
        <w:ind w:left="630" w:hanging="630"/>
        <w:jc w:val="both"/>
        <w:rPr>
          <w:rFonts w:asciiTheme="minorHAnsi" w:hAnsiTheme="minorHAnsi" w:cstheme="minorHAnsi"/>
        </w:rPr>
      </w:pPr>
      <w:r w:rsidRPr="0062173B">
        <w:rPr>
          <w:rFonts w:asciiTheme="minorHAnsi" w:hAnsiTheme="minorHAnsi" w:cstheme="minorHAnsi"/>
        </w:rPr>
        <w:t xml:space="preserve">The </w:t>
      </w:r>
      <w:r w:rsidR="00C3729F" w:rsidRPr="0062173B">
        <w:rPr>
          <w:rFonts w:asciiTheme="minorHAnsi" w:hAnsiTheme="minorHAnsi" w:cstheme="minorHAnsi"/>
        </w:rPr>
        <w:t xml:space="preserve">Chair intimated that </w:t>
      </w:r>
      <w:r w:rsidR="005D074B" w:rsidRPr="0062173B">
        <w:rPr>
          <w:rFonts w:asciiTheme="minorHAnsi" w:hAnsiTheme="minorHAnsi" w:cstheme="minorHAnsi"/>
        </w:rPr>
        <w:t>item 11.4, the Court Membership Committee Report,</w:t>
      </w:r>
      <w:r w:rsidR="00C3729F" w:rsidRPr="0062173B">
        <w:rPr>
          <w:rFonts w:asciiTheme="minorHAnsi" w:hAnsiTheme="minorHAnsi" w:cstheme="minorHAnsi"/>
        </w:rPr>
        <w:t xml:space="preserve"> would be elevated for discussion</w:t>
      </w:r>
      <w:r w:rsidRPr="0062173B">
        <w:rPr>
          <w:rFonts w:asciiTheme="minorHAnsi" w:hAnsiTheme="minorHAnsi" w:cstheme="minorHAnsi"/>
        </w:rPr>
        <w:t xml:space="preserve"> as Court was being asked to approve </w:t>
      </w:r>
      <w:r w:rsidR="007A040F" w:rsidRPr="0062173B">
        <w:rPr>
          <w:rFonts w:asciiTheme="minorHAnsi" w:hAnsiTheme="minorHAnsi" w:cstheme="minorHAnsi"/>
        </w:rPr>
        <w:t xml:space="preserve">the re-appointment </w:t>
      </w:r>
      <w:r w:rsidR="006B0F40" w:rsidRPr="0062173B">
        <w:rPr>
          <w:rFonts w:asciiTheme="minorHAnsi" w:hAnsiTheme="minorHAnsi" w:cstheme="minorHAnsi"/>
        </w:rPr>
        <w:t>of</w:t>
      </w:r>
      <w:r w:rsidR="005D074B" w:rsidRPr="0062173B">
        <w:rPr>
          <w:rFonts w:asciiTheme="minorHAnsi" w:hAnsiTheme="minorHAnsi" w:cstheme="minorHAnsi"/>
        </w:rPr>
        <w:t xml:space="preserve"> four</w:t>
      </w:r>
      <w:r w:rsidR="007A040F" w:rsidRPr="0062173B">
        <w:rPr>
          <w:rFonts w:asciiTheme="minorHAnsi" w:hAnsiTheme="minorHAnsi" w:cstheme="minorHAnsi"/>
        </w:rPr>
        <w:t xml:space="preserve"> Court</w:t>
      </w:r>
      <w:r w:rsidR="005D074B" w:rsidRPr="0062173B">
        <w:rPr>
          <w:rFonts w:asciiTheme="minorHAnsi" w:hAnsiTheme="minorHAnsi" w:cstheme="minorHAnsi"/>
        </w:rPr>
        <w:t xml:space="preserve"> members.</w:t>
      </w:r>
    </w:p>
    <w:p w:rsidR="00BA39EB" w:rsidRPr="0062173B" w:rsidRDefault="00BA39EB" w:rsidP="00BA39EB">
      <w:pPr>
        <w:pStyle w:val="NoSpacing"/>
        <w:jc w:val="both"/>
        <w:rPr>
          <w:rFonts w:asciiTheme="minorHAnsi" w:hAnsiTheme="minorHAnsi" w:cstheme="minorHAnsi"/>
        </w:rPr>
      </w:pPr>
    </w:p>
    <w:p w:rsidR="00BA39EB" w:rsidRPr="0062173B" w:rsidRDefault="00BA39EB" w:rsidP="00BA39EB">
      <w:pPr>
        <w:pStyle w:val="NoSpacing"/>
        <w:ind w:left="630" w:hanging="630"/>
        <w:jc w:val="both"/>
        <w:rPr>
          <w:rFonts w:asciiTheme="minorHAnsi" w:hAnsiTheme="minorHAnsi" w:cstheme="minorHAnsi"/>
        </w:rPr>
      </w:pPr>
      <w:r w:rsidRPr="0062173B">
        <w:rPr>
          <w:rFonts w:asciiTheme="minorHAnsi" w:hAnsiTheme="minorHAnsi" w:cstheme="minorHAnsi"/>
        </w:rPr>
        <w:t>3.</w:t>
      </w:r>
      <w:r w:rsidRPr="0062173B">
        <w:rPr>
          <w:rFonts w:asciiTheme="minorHAnsi" w:hAnsiTheme="minorHAnsi" w:cstheme="minorHAnsi"/>
        </w:rPr>
        <w:tab/>
        <w:t>The Director of Strategy and Planning would be attending the meeting for the discussion on item 12, the GCU 2020 Strategy and item 13, the 2020 Strategic Indicators</w:t>
      </w:r>
      <w:r w:rsidR="006B0F40" w:rsidRPr="0062173B">
        <w:rPr>
          <w:rFonts w:asciiTheme="minorHAnsi" w:hAnsiTheme="minorHAnsi" w:cstheme="minorHAnsi"/>
        </w:rPr>
        <w:t>.</w:t>
      </w:r>
    </w:p>
    <w:p w:rsidR="009A3F3B" w:rsidRPr="0062173B" w:rsidRDefault="009A3F3B" w:rsidP="002D2034">
      <w:pPr>
        <w:ind w:left="1080"/>
        <w:jc w:val="both"/>
        <w:rPr>
          <w:rFonts w:asciiTheme="minorHAnsi" w:hAnsiTheme="minorHAnsi" w:cstheme="minorHAnsi"/>
          <w:sz w:val="22"/>
          <w:szCs w:val="22"/>
        </w:rPr>
      </w:pPr>
      <w:r w:rsidRPr="0062173B">
        <w:rPr>
          <w:rFonts w:asciiTheme="minorHAnsi" w:hAnsiTheme="minorHAnsi" w:cstheme="minorHAnsi"/>
          <w:sz w:val="22"/>
          <w:szCs w:val="22"/>
        </w:rPr>
        <w:tab/>
      </w:r>
      <w:r w:rsidR="009140C0" w:rsidRPr="0062173B">
        <w:rPr>
          <w:rFonts w:asciiTheme="minorHAnsi" w:hAnsiTheme="minorHAnsi" w:cstheme="minorHAnsi"/>
          <w:sz w:val="22"/>
          <w:szCs w:val="22"/>
        </w:rPr>
        <w:t xml:space="preserve">  </w:t>
      </w: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 xml:space="preserve">Minutes of the meeting of the University Court held on </w:t>
      </w:r>
      <w:r w:rsidR="00E0600A" w:rsidRPr="0062173B">
        <w:rPr>
          <w:rFonts w:asciiTheme="minorHAnsi" w:hAnsiTheme="minorHAnsi" w:cstheme="minorHAnsi"/>
          <w:b/>
        </w:rPr>
        <w:t>2</w:t>
      </w:r>
      <w:r w:rsidR="001B1573" w:rsidRPr="0062173B">
        <w:rPr>
          <w:rFonts w:asciiTheme="minorHAnsi" w:hAnsiTheme="minorHAnsi" w:cstheme="minorHAnsi"/>
          <w:b/>
        </w:rPr>
        <w:t>5</w:t>
      </w:r>
      <w:r w:rsidR="001B1573" w:rsidRPr="0062173B">
        <w:rPr>
          <w:rFonts w:asciiTheme="minorHAnsi" w:hAnsiTheme="minorHAnsi" w:cstheme="minorHAnsi"/>
          <w:b/>
          <w:vertAlign w:val="superscript"/>
        </w:rPr>
        <w:t>th</w:t>
      </w:r>
      <w:r w:rsidR="001B1573" w:rsidRPr="0062173B">
        <w:rPr>
          <w:rFonts w:asciiTheme="minorHAnsi" w:hAnsiTheme="minorHAnsi" w:cstheme="minorHAnsi"/>
          <w:b/>
        </w:rPr>
        <w:t xml:space="preserve"> </w:t>
      </w:r>
      <w:r w:rsidR="00177C07" w:rsidRPr="0062173B">
        <w:rPr>
          <w:rFonts w:asciiTheme="minorHAnsi" w:hAnsiTheme="minorHAnsi" w:cstheme="minorHAnsi"/>
          <w:b/>
        </w:rPr>
        <w:t>September 201</w:t>
      </w:r>
      <w:r w:rsidR="001B1573" w:rsidRPr="0062173B">
        <w:rPr>
          <w:rFonts w:asciiTheme="minorHAnsi" w:hAnsiTheme="minorHAnsi" w:cstheme="minorHAnsi"/>
          <w:b/>
        </w:rPr>
        <w:t>4</w:t>
      </w:r>
    </w:p>
    <w:p w:rsidR="007676CF" w:rsidRPr="0062173B" w:rsidRDefault="007676CF" w:rsidP="00754C04">
      <w:pPr>
        <w:pStyle w:val="NoSpacing"/>
        <w:jc w:val="both"/>
        <w:rPr>
          <w:rFonts w:asciiTheme="minorHAnsi" w:hAnsiTheme="minorHAnsi" w:cstheme="minorHAnsi"/>
        </w:rPr>
      </w:pPr>
    </w:p>
    <w:tbl>
      <w:tblPr>
        <w:tblW w:w="0" w:type="auto"/>
        <w:tblLayout w:type="fixed"/>
        <w:tblLook w:val="0000" w:firstRow="0" w:lastRow="0" w:firstColumn="0" w:lastColumn="0" w:noHBand="0" w:noVBand="0"/>
      </w:tblPr>
      <w:tblGrid>
        <w:gridCol w:w="959"/>
        <w:gridCol w:w="1276"/>
        <w:gridCol w:w="708"/>
        <w:gridCol w:w="7655"/>
      </w:tblGrid>
      <w:tr w:rsidR="007676CF" w:rsidRPr="0062173B" w:rsidTr="002D2034">
        <w:tc>
          <w:tcPr>
            <w:tcW w:w="959" w:type="dxa"/>
          </w:tcPr>
          <w:p w:rsidR="007676CF" w:rsidRPr="0062173B" w:rsidRDefault="00FB3CCE" w:rsidP="001B1573">
            <w:pPr>
              <w:pStyle w:val="NoSpacing"/>
              <w:jc w:val="both"/>
              <w:rPr>
                <w:rFonts w:asciiTheme="minorHAnsi" w:hAnsiTheme="minorHAnsi" w:cstheme="minorHAnsi"/>
              </w:rPr>
            </w:pPr>
            <w:r w:rsidRPr="0062173B">
              <w:rPr>
                <w:rFonts w:asciiTheme="minorHAnsi" w:hAnsiTheme="minorHAnsi" w:cstheme="minorHAnsi"/>
              </w:rPr>
              <w:t>1</w:t>
            </w:r>
            <w:r w:rsidR="001B1573" w:rsidRPr="0062173B">
              <w:rPr>
                <w:rFonts w:asciiTheme="minorHAnsi" w:hAnsiTheme="minorHAnsi" w:cstheme="minorHAnsi"/>
              </w:rPr>
              <w:t>4</w:t>
            </w:r>
            <w:r w:rsidR="00307EC3" w:rsidRPr="0062173B">
              <w:rPr>
                <w:rFonts w:asciiTheme="minorHAnsi" w:hAnsiTheme="minorHAnsi" w:cstheme="minorHAnsi"/>
              </w:rPr>
              <w:t>.</w:t>
            </w:r>
            <w:r w:rsidR="001B1573" w:rsidRPr="0062173B">
              <w:rPr>
                <w:rFonts w:asciiTheme="minorHAnsi" w:hAnsiTheme="minorHAnsi" w:cstheme="minorHAnsi"/>
              </w:rPr>
              <w:t>38</w:t>
            </w:r>
          </w:p>
        </w:tc>
        <w:tc>
          <w:tcPr>
            <w:tcW w:w="1276" w:type="dxa"/>
          </w:tcPr>
          <w:p w:rsidR="007676CF" w:rsidRPr="0062173B" w:rsidRDefault="00E0600A" w:rsidP="00754C04">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7676CF" w:rsidRPr="0062173B" w:rsidRDefault="007676CF" w:rsidP="00754C04">
            <w:pPr>
              <w:pStyle w:val="NoSpacing"/>
              <w:jc w:val="both"/>
              <w:rPr>
                <w:rFonts w:asciiTheme="minorHAnsi" w:hAnsiTheme="minorHAnsi" w:cstheme="minorHAnsi"/>
              </w:rPr>
            </w:pPr>
          </w:p>
        </w:tc>
        <w:tc>
          <w:tcPr>
            <w:tcW w:w="7655" w:type="dxa"/>
          </w:tcPr>
          <w:p w:rsidR="002560B0" w:rsidRPr="0062173B" w:rsidRDefault="00CE59EE" w:rsidP="001B1573">
            <w:pPr>
              <w:pStyle w:val="NoSpacing"/>
              <w:jc w:val="both"/>
              <w:rPr>
                <w:rFonts w:asciiTheme="minorHAnsi" w:hAnsiTheme="minorHAnsi" w:cstheme="minorHAnsi"/>
              </w:rPr>
            </w:pPr>
            <w:r w:rsidRPr="0062173B">
              <w:rPr>
                <w:rFonts w:asciiTheme="minorHAnsi" w:hAnsiTheme="minorHAnsi" w:cstheme="minorHAnsi"/>
              </w:rPr>
              <w:t xml:space="preserve">Document </w:t>
            </w:r>
            <w:r w:rsidR="002560B0" w:rsidRPr="0062173B">
              <w:rPr>
                <w:rFonts w:asciiTheme="minorHAnsi" w:hAnsiTheme="minorHAnsi" w:cstheme="minorHAnsi"/>
              </w:rPr>
              <w:t>UC1</w:t>
            </w:r>
            <w:r w:rsidR="001B1573" w:rsidRPr="0062173B">
              <w:rPr>
                <w:rFonts w:asciiTheme="minorHAnsi" w:hAnsiTheme="minorHAnsi" w:cstheme="minorHAnsi"/>
              </w:rPr>
              <w:t>4</w:t>
            </w:r>
            <w:r w:rsidR="002560B0" w:rsidRPr="0062173B">
              <w:rPr>
                <w:rFonts w:asciiTheme="minorHAnsi" w:hAnsiTheme="minorHAnsi" w:cstheme="minorHAnsi"/>
              </w:rPr>
              <w:t>/1</w:t>
            </w:r>
            <w:r w:rsidR="001B1573" w:rsidRPr="0062173B">
              <w:rPr>
                <w:rFonts w:asciiTheme="minorHAnsi" w:hAnsiTheme="minorHAnsi" w:cstheme="minorHAnsi"/>
              </w:rPr>
              <w:t>8</w:t>
            </w:r>
            <w:r w:rsidR="002560B0" w:rsidRPr="0062173B">
              <w:rPr>
                <w:rFonts w:asciiTheme="minorHAnsi" w:hAnsiTheme="minorHAnsi" w:cstheme="minorHAnsi"/>
              </w:rPr>
              <w:t>, the unconfirmed draft minutes of the Court meeting held on 2</w:t>
            </w:r>
            <w:r w:rsidR="001B1573" w:rsidRPr="0062173B">
              <w:rPr>
                <w:rFonts w:asciiTheme="minorHAnsi" w:hAnsiTheme="minorHAnsi" w:cstheme="minorHAnsi"/>
              </w:rPr>
              <w:t>5</w:t>
            </w:r>
            <w:r w:rsidR="001B1573" w:rsidRPr="0062173B">
              <w:rPr>
                <w:rFonts w:asciiTheme="minorHAnsi" w:hAnsiTheme="minorHAnsi" w:cstheme="minorHAnsi"/>
                <w:vertAlign w:val="superscript"/>
              </w:rPr>
              <w:t>th</w:t>
            </w:r>
            <w:r w:rsidR="000F0FF3" w:rsidRPr="0062173B">
              <w:rPr>
                <w:rFonts w:asciiTheme="minorHAnsi" w:hAnsiTheme="minorHAnsi" w:cstheme="minorHAnsi"/>
              </w:rPr>
              <w:t xml:space="preserve"> </w:t>
            </w:r>
            <w:r w:rsidR="002560B0" w:rsidRPr="0062173B">
              <w:rPr>
                <w:rFonts w:asciiTheme="minorHAnsi" w:hAnsiTheme="minorHAnsi" w:cstheme="minorHAnsi"/>
              </w:rPr>
              <w:t xml:space="preserve">September </w:t>
            </w:r>
            <w:r w:rsidR="000F0FF3" w:rsidRPr="0062173B">
              <w:rPr>
                <w:rFonts w:asciiTheme="minorHAnsi" w:hAnsiTheme="minorHAnsi" w:cstheme="minorHAnsi"/>
              </w:rPr>
              <w:t>201</w:t>
            </w:r>
            <w:r w:rsidR="001B1573" w:rsidRPr="0062173B">
              <w:rPr>
                <w:rFonts w:asciiTheme="minorHAnsi" w:hAnsiTheme="minorHAnsi" w:cstheme="minorHAnsi"/>
              </w:rPr>
              <w:t>4</w:t>
            </w:r>
            <w:r w:rsidR="000F0FF3" w:rsidRPr="0062173B">
              <w:rPr>
                <w:rFonts w:asciiTheme="minorHAnsi" w:hAnsiTheme="minorHAnsi" w:cstheme="minorHAnsi"/>
              </w:rPr>
              <w:t xml:space="preserve"> </w:t>
            </w:r>
            <w:r w:rsidR="002560B0" w:rsidRPr="0062173B">
              <w:rPr>
                <w:rFonts w:asciiTheme="minorHAnsi" w:hAnsiTheme="minorHAnsi" w:cstheme="minorHAnsi"/>
              </w:rPr>
              <w:t>were an accurate record</w:t>
            </w:r>
            <w:r w:rsidR="001B1573" w:rsidRPr="0062173B">
              <w:rPr>
                <w:rFonts w:asciiTheme="minorHAnsi" w:hAnsiTheme="minorHAnsi" w:cstheme="minorHAnsi"/>
              </w:rPr>
              <w:t>.</w:t>
            </w:r>
            <w:r w:rsidR="000F0FF3" w:rsidRPr="0062173B">
              <w:rPr>
                <w:rFonts w:asciiTheme="minorHAnsi" w:hAnsiTheme="minorHAnsi" w:cstheme="minorHAnsi"/>
              </w:rPr>
              <w:t xml:space="preserve"> </w:t>
            </w:r>
          </w:p>
        </w:tc>
      </w:tr>
      <w:tr w:rsidR="005D074B" w:rsidRPr="0062173B" w:rsidTr="002D2034">
        <w:tc>
          <w:tcPr>
            <w:tcW w:w="959" w:type="dxa"/>
          </w:tcPr>
          <w:p w:rsidR="005D074B" w:rsidRPr="0062173B" w:rsidRDefault="005D074B" w:rsidP="001B1573">
            <w:pPr>
              <w:pStyle w:val="NoSpacing"/>
              <w:jc w:val="both"/>
              <w:rPr>
                <w:rFonts w:asciiTheme="minorHAnsi" w:hAnsiTheme="minorHAnsi" w:cstheme="minorHAnsi"/>
              </w:rPr>
            </w:pPr>
          </w:p>
        </w:tc>
        <w:tc>
          <w:tcPr>
            <w:tcW w:w="1276" w:type="dxa"/>
          </w:tcPr>
          <w:p w:rsidR="005D074B" w:rsidRPr="0062173B" w:rsidRDefault="005D074B" w:rsidP="00754C04">
            <w:pPr>
              <w:pStyle w:val="NoSpacing"/>
              <w:jc w:val="both"/>
              <w:rPr>
                <w:rFonts w:asciiTheme="minorHAnsi" w:hAnsiTheme="minorHAnsi" w:cstheme="minorHAnsi"/>
              </w:rPr>
            </w:pPr>
          </w:p>
        </w:tc>
        <w:tc>
          <w:tcPr>
            <w:tcW w:w="708" w:type="dxa"/>
          </w:tcPr>
          <w:p w:rsidR="005D074B" w:rsidRPr="0062173B" w:rsidRDefault="005D074B" w:rsidP="00754C04">
            <w:pPr>
              <w:pStyle w:val="NoSpacing"/>
              <w:jc w:val="both"/>
              <w:rPr>
                <w:rFonts w:asciiTheme="minorHAnsi" w:hAnsiTheme="minorHAnsi" w:cstheme="minorHAnsi"/>
              </w:rPr>
            </w:pPr>
          </w:p>
        </w:tc>
        <w:tc>
          <w:tcPr>
            <w:tcW w:w="7655" w:type="dxa"/>
          </w:tcPr>
          <w:p w:rsidR="005D074B" w:rsidRPr="0062173B" w:rsidRDefault="005D074B" w:rsidP="001B1573">
            <w:pPr>
              <w:pStyle w:val="NoSpacing"/>
              <w:jc w:val="both"/>
              <w:rPr>
                <w:rFonts w:asciiTheme="minorHAnsi" w:hAnsiTheme="minorHAnsi" w:cstheme="minorHAnsi"/>
              </w:rPr>
            </w:pPr>
          </w:p>
        </w:tc>
      </w:tr>
      <w:tr w:rsidR="005D074B" w:rsidRPr="0062173B" w:rsidTr="002D2034">
        <w:tc>
          <w:tcPr>
            <w:tcW w:w="959" w:type="dxa"/>
          </w:tcPr>
          <w:p w:rsidR="005D074B" w:rsidRPr="0062173B" w:rsidRDefault="005D074B" w:rsidP="001B1573">
            <w:pPr>
              <w:pStyle w:val="NoSpacing"/>
              <w:jc w:val="both"/>
              <w:rPr>
                <w:rFonts w:asciiTheme="minorHAnsi" w:hAnsiTheme="minorHAnsi" w:cstheme="minorHAnsi"/>
              </w:rPr>
            </w:pPr>
            <w:r w:rsidRPr="0062173B">
              <w:rPr>
                <w:rFonts w:asciiTheme="minorHAnsi" w:hAnsiTheme="minorHAnsi" w:cstheme="minorHAnsi"/>
              </w:rPr>
              <w:t>14.39</w:t>
            </w:r>
          </w:p>
        </w:tc>
        <w:tc>
          <w:tcPr>
            <w:tcW w:w="1276" w:type="dxa"/>
          </w:tcPr>
          <w:p w:rsidR="005D074B" w:rsidRPr="0062173B" w:rsidRDefault="005D074B" w:rsidP="00754C04">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5D074B" w:rsidRPr="0062173B" w:rsidRDefault="005D074B" w:rsidP="00754C04">
            <w:pPr>
              <w:pStyle w:val="NoSpacing"/>
              <w:jc w:val="both"/>
              <w:rPr>
                <w:rFonts w:asciiTheme="minorHAnsi" w:hAnsiTheme="minorHAnsi" w:cstheme="minorHAnsi"/>
              </w:rPr>
            </w:pPr>
          </w:p>
        </w:tc>
        <w:tc>
          <w:tcPr>
            <w:tcW w:w="7655" w:type="dxa"/>
          </w:tcPr>
          <w:p w:rsidR="005D074B" w:rsidRPr="0062173B" w:rsidRDefault="005D074B" w:rsidP="00E948E0">
            <w:pPr>
              <w:pStyle w:val="NoSpacing"/>
              <w:jc w:val="both"/>
              <w:rPr>
                <w:rFonts w:asciiTheme="minorHAnsi" w:hAnsiTheme="minorHAnsi" w:cstheme="minorHAnsi"/>
              </w:rPr>
            </w:pPr>
            <w:r w:rsidRPr="0062173B">
              <w:rPr>
                <w:rFonts w:asciiTheme="minorHAnsi" w:hAnsiTheme="minorHAnsi" w:cstheme="minorHAnsi"/>
              </w:rPr>
              <w:t>With reference to minute 14.</w:t>
            </w:r>
            <w:r w:rsidR="00E0732F" w:rsidRPr="0062173B">
              <w:rPr>
                <w:rFonts w:asciiTheme="minorHAnsi" w:hAnsiTheme="minorHAnsi" w:cstheme="minorHAnsi"/>
              </w:rPr>
              <w:t xml:space="preserve">13, Court was advised that the Scottish Funding Council had not yet issued the new Financial Memorandum. </w:t>
            </w:r>
            <w:r w:rsidR="006B0F40" w:rsidRPr="0062173B">
              <w:rPr>
                <w:rFonts w:asciiTheme="minorHAnsi" w:hAnsiTheme="minorHAnsi" w:cstheme="minorHAnsi"/>
              </w:rPr>
              <w:t>There was a lack of clarity as to when this might happen but i</w:t>
            </w:r>
            <w:r w:rsidR="00E0732F" w:rsidRPr="0062173B">
              <w:rPr>
                <w:rFonts w:asciiTheme="minorHAnsi" w:hAnsiTheme="minorHAnsi" w:cstheme="minorHAnsi"/>
              </w:rPr>
              <w:t xml:space="preserve">t was hoped that </w:t>
            </w:r>
            <w:r w:rsidR="006B0F40" w:rsidRPr="0062173B">
              <w:rPr>
                <w:rFonts w:asciiTheme="minorHAnsi" w:hAnsiTheme="minorHAnsi" w:cstheme="minorHAnsi"/>
              </w:rPr>
              <w:t>it would be</w:t>
            </w:r>
            <w:r w:rsidR="00E0732F" w:rsidRPr="0062173B">
              <w:rPr>
                <w:rFonts w:asciiTheme="minorHAnsi" w:hAnsiTheme="minorHAnsi" w:cstheme="minorHAnsi"/>
              </w:rPr>
              <w:t xml:space="preserve"> by the end of the calendar year.  The University Secretary stated that the Financial Memorandum would be shared with Court as</w:t>
            </w:r>
            <w:r w:rsidR="00E948E0" w:rsidRPr="0062173B">
              <w:rPr>
                <w:rFonts w:asciiTheme="minorHAnsi" w:hAnsiTheme="minorHAnsi" w:cstheme="minorHAnsi"/>
              </w:rPr>
              <w:t xml:space="preserve"> </w:t>
            </w:r>
            <w:r w:rsidR="00E0732F" w:rsidRPr="0062173B">
              <w:rPr>
                <w:rFonts w:asciiTheme="minorHAnsi" w:hAnsiTheme="minorHAnsi" w:cstheme="minorHAnsi"/>
              </w:rPr>
              <w:t xml:space="preserve">and when it was received.     </w:t>
            </w:r>
          </w:p>
        </w:tc>
      </w:tr>
    </w:tbl>
    <w:p w:rsidR="007676CF" w:rsidRPr="0062173B" w:rsidRDefault="007676CF" w:rsidP="00754C04">
      <w:pPr>
        <w:pStyle w:val="NoSpacing"/>
        <w:jc w:val="both"/>
        <w:rPr>
          <w:rFonts w:asciiTheme="minorHAnsi" w:hAnsiTheme="minorHAnsi" w:cstheme="minorHAnsi"/>
          <w:b/>
        </w:rPr>
      </w:pPr>
    </w:p>
    <w:p w:rsidR="002D2034" w:rsidRDefault="002D2034" w:rsidP="00754C04">
      <w:pPr>
        <w:pStyle w:val="NoSpacing"/>
        <w:jc w:val="both"/>
        <w:rPr>
          <w:rFonts w:asciiTheme="minorHAnsi" w:hAnsiTheme="minorHAnsi" w:cstheme="minorHAnsi"/>
          <w:b/>
        </w:rPr>
      </w:pPr>
    </w:p>
    <w:p w:rsidR="002D2034" w:rsidRDefault="002D2034" w:rsidP="00754C04">
      <w:pPr>
        <w:pStyle w:val="NoSpacing"/>
        <w:jc w:val="both"/>
        <w:rPr>
          <w:rFonts w:asciiTheme="minorHAnsi" w:hAnsiTheme="minorHAnsi" w:cstheme="minorHAnsi"/>
          <w:b/>
        </w:rPr>
      </w:pP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lastRenderedPageBreak/>
        <w:t>Chair’s Report</w:t>
      </w:r>
    </w:p>
    <w:p w:rsidR="007676CF" w:rsidRPr="0062173B" w:rsidRDefault="007676CF" w:rsidP="00754C04">
      <w:pPr>
        <w:pStyle w:val="NoSpacing"/>
        <w:jc w:val="both"/>
        <w:rPr>
          <w:rFonts w:asciiTheme="minorHAnsi" w:hAnsiTheme="minorHAnsi" w:cstheme="minorHAnsi"/>
        </w:rPr>
      </w:pPr>
    </w:p>
    <w:tbl>
      <w:tblPr>
        <w:tblW w:w="0" w:type="auto"/>
        <w:tblLayout w:type="fixed"/>
        <w:tblLook w:val="0000" w:firstRow="0" w:lastRow="0" w:firstColumn="0" w:lastColumn="0" w:noHBand="0" w:noVBand="0"/>
      </w:tblPr>
      <w:tblGrid>
        <w:gridCol w:w="959"/>
        <w:gridCol w:w="1276"/>
        <w:gridCol w:w="708"/>
        <w:gridCol w:w="7655"/>
      </w:tblGrid>
      <w:tr w:rsidR="007676CF" w:rsidRPr="0062173B" w:rsidTr="002D2034">
        <w:tc>
          <w:tcPr>
            <w:tcW w:w="959" w:type="dxa"/>
          </w:tcPr>
          <w:p w:rsidR="007676CF" w:rsidRPr="0062173B" w:rsidRDefault="002560B0" w:rsidP="00E0732F">
            <w:pPr>
              <w:pStyle w:val="NoSpacing"/>
              <w:jc w:val="both"/>
              <w:rPr>
                <w:rFonts w:asciiTheme="minorHAnsi" w:hAnsiTheme="minorHAnsi" w:cstheme="minorHAnsi"/>
              </w:rPr>
            </w:pPr>
            <w:r w:rsidRPr="0062173B">
              <w:rPr>
                <w:rFonts w:asciiTheme="minorHAnsi" w:hAnsiTheme="minorHAnsi" w:cstheme="minorHAnsi"/>
              </w:rPr>
              <w:t>1</w:t>
            </w:r>
            <w:r w:rsidR="001B1573" w:rsidRPr="0062173B">
              <w:rPr>
                <w:rFonts w:asciiTheme="minorHAnsi" w:hAnsiTheme="minorHAnsi" w:cstheme="minorHAnsi"/>
              </w:rPr>
              <w:t>4</w:t>
            </w:r>
            <w:r w:rsidRPr="0062173B">
              <w:rPr>
                <w:rFonts w:asciiTheme="minorHAnsi" w:hAnsiTheme="minorHAnsi" w:cstheme="minorHAnsi"/>
              </w:rPr>
              <w:t>.</w:t>
            </w:r>
            <w:r w:rsidR="00E0732F" w:rsidRPr="0062173B">
              <w:rPr>
                <w:rFonts w:asciiTheme="minorHAnsi" w:hAnsiTheme="minorHAnsi" w:cstheme="minorHAnsi"/>
              </w:rPr>
              <w:t>40</w:t>
            </w:r>
          </w:p>
        </w:tc>
        <w:tc>
          <w:tcPr>
            <w:tcW w:w="1276" w:type="dxa"/>
          </w:tcPr>
          <w:p w:rsidR="007676CF" w:rsidRPr="0062173B" w:rsidRDefault="007676CF" w:rsidP="00754C04">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7676CF" w:rsidRPr="0062173B" w:rsidRDefault="007676CF" w:rsidP="00754C04">
            <w:pPr>
              <w:pStyle w:val="NoSpacing"/>
              <w:jc w:val="both"/>
              <w:rPr>
                <w:rFonts w:asciiTheme="minorHAnsi" w:hAnsiTheme="minorHAnsi" w:cstheme="minorHAnsi"/>
              </w:rPr>
            </w:pPr>
          </w:p>
        </w:tc>
        <w:tc>
          <w:tcPr>
            <w:tcW w:w="7655" w:type="dxa"/>
          </w:tcPr>
          <w:p w:rsidR="007676CF" w:rsidRPr="0062173B" w:rsidRDefault="00747FEE" w:rsidP="00E948E0">
            <w:pPr>
              <w:pStyle w:val="NoSpacing"/>
              <w:jc w:val="both"/>
              <w:rPr>
                <w:rFonts w:asciiTheme="minorHAnsi" w:hAnsiTheme="minorHAnsi" w:cstheme="minorHAnsi"/>
              </w:rPr>
            </w:pPr>
            <w:r w:rsidRPr="0062173B">
              <w:rPr>
                <w:rFonts w:asciiTheme="minorHAnsi" w:hAnsiTheme="minorHAnsi" w:cstheme="minorHAnsi"/>
              </w:rPr>
              <w:t>Document UC</w:t>
            </w:r>
            <w:r w:rsidR="002560B0" w:rsidRPr="0062173B">
              <w:rPr>
                <w:rFonts w:asciiTheme="minorHAnsi" w:hAnsiTheme="minorHAnsi" w:cstheme="minorHAnsi"/>
              </w:rPr>
              <w:t>1</w:t>
            </w:r>
            <w:r w:rsidR="001B1573" w:rsidRPr="0062173B">
              <w:rPr>
                <w:rFonts w:asciiTheme="minorHAnsi" w:hAnsiTheme="minorHAnsi" w:cstheme="minorHAnsi"/>
              </w:rPr>
              <w:t>4</w:t>
            </w:r>
            <w:r w:rsidR="007676CF" w:rsidRPr="0062173B">
              <w:rPr>
                <w:rFonts w:asciiTheme="minorHAnsi" w:hAnsiTheme="minorHAnsi" w:cstheme="minorHAnsi"/>
              </w:rPr>
              <w:t>/</w:t>
            </w:r>
            <w:r w:rsidR="001B1573" w:rsidRPr="0062173B">
              <w:rPr>
                <w:rFonts w:asciiTheme="minorHAnsi" w:hAnsiTheme="minorHAnsi" w:cstheme="minorHAnsi"/>
              </w:rPr>
              <w:t>19</w:t>
            </w:r>
            <w:r w:rsidR="00F1170C" w:rsidRPr="0062173B">
              <w:rPr>
                <w:rFonts w:asciiTheme="minorHAnsi" w:hAnsiTheme="minorHAnsi" w:cstheme="minorHAnsi"/>
              </w:rPr>
              <w:t>,</w:t>
            </w:r>
            <w:r w:rsidR="007676CF" w:rsidRPr="0062173B">
              <w:rPr>
                <w:rFonts w:asciiTheme="minorHAnsi" w:hAnsiTheme="minorHAnsi" w:cstheme="minorHAnsi"/>
              </w:rPr>
              <w:t xml:space="preserve"> a report from the Chair of Court on t</w:t>
            </w:r>
            <w:r w:rsidR="001159BB" w:rsidRPr="0062173B">
              <w:rPr>
                <w:rFonts w:asciiTheme="minorHAnsi" w:hAnsiTheme="minorHAnsi" w:cstheme="minorHAnsi"/>
              </w:rPr>
              <w:t>he activities he had undertaken</w:t>
            </w:r>
            <w:r w:rsidR="007676CF" w:rsidRPr="0062173B">
              <w:rPr>
                <w:rFonts w:asciiTheme="minorHAnsi" w:hAnsiTheme="minorHAnsi" w:cstheme="minorHAnsi"/>
              </w:rPr>
              <w:t xml:space="preserve"> and meetings he had attended on behalf of Court. </w:t>
            </w:r>
          </w:p>
        </w:tc>
      </w:tr>
      <w:tr w:rsidR="007676CF" w:rsidRPr="0062173B" w:rsidTr="002D2034">
        <w:tc>
          <w:tcPr>
            <w:tcW w:w="959" w:type="dxa"/>
          </w:tcPr>
          <w:p w:rsidR="007676CF" w:rsidRPr="0062173B" w:rsidRDefault="007676CF" w:rsidP="00754C04">
            <w:pPr>
              <w:pStyle w:val="NoSpacing"/>
              <w:jc w:val="both"/>
              <w:rPr>
                <w:rFonts w:asciiTheme="minorHAnsi" w:hAnsiTheme="minorHAnsi" w:cstheme="minorHAnsi"/>
              </w:rPr>
            </w:pPr>
          </w:p>
        </w:tc>
        <w:tc>
          <w:tcPr>
            <w:tcW w:w="1276" w:type="dxa"/>
          </w:tcPr>
          <w:p w:rsidR="007676CF" w:rsidRPr="0062173B" w:rsidRDefault="007676CF" w:rsidP="00754C04">
            <w:pPr>
              <w:pStyle w:val="NoSpacing"/>
              <w:jc w:val="both"/>
              <w:rPr>
                <w:rFonts w:asciiTheme="minorHAnsi" w:hAnsiTheme="minorHAnsi" w:cstheme="minorHAnsi"/>
              </w:rPr>
            </w:pPr>
          </w:p>
        </w:tc>
        <w:tc>
          <w:tcPr>
            <w:tcW w:w="708" w:type="dxa"/>
          </w:tcPr>
          <w:p w:rsidR="007676CF" w:rsidRPr="0062173B" w:rsidRDefault="007676CF" w:rsidP="00754C04">
            <w:pPr>
              <w:pStyle w:val="NoSpacing"/>
              <w:jc w:val="both"/>
              <w:rPr>
                <w:rFonts w:asciiTheme="minorHAnsi" w:hAnsiTheme="minorHAnsi" w:cstheme="minorHAnsi"/>
              </w:rPr>
            </w:pPr>
          </w:p>
        </w:tc>
        <w:tc>
          <w:tcPr>
            <w:tcW w:w="7655" w:type="dxa"/>
          </w:tcPr>
          <w:p w:rsidR="007676CF" w:rsidRPr="0062173B" w:rsidRDefault="007676CF" w:rsidP="00754C04">
            <w:pPr>
              <w:pStyle w:val="NoSpacing"/>
              <w:jc w:val="both"/>
              <w:rPr>
                <w:rFonts w:asciiTheme="minorHAnsi" w:hAnsiTheme="minorHAnsi" w:cstheme="minorHAnsi"/>
              </w:rPr>
            </w:pPr>
          </w:p>
        </w:tc>
      </w:tr>
      <w:tr w:rsidR="007676CF" w:rsidRPr="0062173B" w:rsidTr="002D2034">
        <w:tc>
          <w:tcPr>
            <w:tcW w:w="959" w:type="dxa"/>
          </w:tcPr>
          <w:p w:rsidR="007676CF" w:rsidRPr="0062173B" w:rsidRDefault="001B1573" w:rsidP="00E0732F">
            <w:pPr>
              <w:pStyle w:val="NoSpacing"/>
              <w:jc w:val="both"/>
              <w:rPr>
                <w:rFonts w:asciiTheme="minorHAnsi" w:hAnsiTheme="minorHAnsi" w:cstheme="minorHAnsi"/>
              </w:rPr>
            </w:pPr>
            <w:r w:rsidRPr="0062173B">
              <w:rPr>
                <w:rFonts w:asciiTheme="minorHAnsi" w:hAnsiTheme="minorHAnsi" w:cstheme="minorHAnsi"/>
              </w:rPr>
              <w:t>14.4</w:t>
            </w:r>
            <w:r w:rsidR="00E0732F" w:rsidRPr="0062173B">
              <w:rPr>
                <w:rFonts w:asciiTheme="minorHAnsi" w:hAnsiTheme="minorHAnsi" w:cstheme="minorHAnsi"/>
              </w:rPr>
              <w:t>1</w:t>
            </w:r>
          </w:p>
        </w:tc>
        <w:tc>
          <w:tcPr>
            <w:tcW w:w="1276" w:type="dxa"/>
          </w:tcPr>
          <w:p w:rsidR="007676CF" w:rsidRPr="0062173B" w:rsidRDefault="001B1573" w:rsidP="00754C04">
            <w:pPr>
              <w:pStyle w:val="NoSpacing"/>
              <w:jc w:val="both"/>
              <w:rPr>
                <w:rFonts w:asciiTheme="minorHAnsi" w:hAnsiTheme="minorHAnsi" w:cstheme="minorHAnsi"/>
              </w:rPr>
            </w:pPr>
            <w:r w:rsidRPr="0062173B">
              <w:rPr>
                <w:rFonts w:asciiTheme="minorHAnsi" w:hAnsiTheme="minorHAnsi" w:cstheme="minorHAnsi"/>
              </w:rPr>
              <w:t>Reported</w:t>
            </w:r>
          </w:p>
        </w:tc>
        <w:tc>
          <w:tcPr>
            <w:tcW w:w="708" w:type="dxa"/>
          </w:tcPr>
          <w:p w:rsidR="007676CF" w:rsidRPr="0062173B" w:rsidRDefault="001B1573" w:rsidP="00754C04">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7676CF" w:rsidRPr="0062173B" w:rsidRDefault="001B1573" w:rsidP="00C439C4">
            <w:pPr>
              <w:jc w:val="both"/>
              <w:rPr>
                <w:rFonts w:asciiTheme="minorHAnsi" w:hAnsiTheme="minorHAnsi" w:cstheme="minorHAnsi"/>
                <w:sz w:val="22"/>
                <w:szCs w:val="22"/>
              </w:rPr>
            </w:pPr>
            <w:r w:rsidRPr="0062173B">
              <w:rPr>
                <w:rFonts w:asciiTheme="minorHAnsi" w:hAnsiTheme="minorHAnsi"/>
                <w:sz w:val="22"/>
                <w:szCs w:val="22"/>
              </w:rPr>
              <w:t xml:space="preserve">The Chair referred to the consultation paper on the Scottish Government’s proposal to introduce a Higher Education Governance Bill which had previously been circulated to Court members and </w:t>
            </w:r>
            <w:r w:rsidR="00C439C4" w:rsidRPr="0062173B">
              <w:rPr>
                <w:rFonts w:asciiTheme="minorHAnsi" w:hAnsiTheme="minorHAnsi"/>
                <w:sz w:val="22"/>
                <w:szCs w:val="22"/>
              </w:rPr>
              <w:t xml:space="preserve">he </w:t>
            </w:r>
            <w:r w:rsidRPr="0062173B">
              <w:rPr>
                <w:rFonts w:asciiTheme="minorHAnsi" w:hAnsiTheme="minorHAnsi"/>
                <w:sz w:val="22"/>
                <w:szCs w:val="22"/>
              </w:rPr>
              <w:t>sought initial views.</w:t>
            </w:r>
            <w:r w:rsidR="00CE4BEB" w:rsidRPr="0062173B">
              <w:rPr>
                <w:rFonts w:asciiTheme="minorHAnsi" w:hAnsiTheme="minorHAnsi"/>
                <w:sz w:val="22"/>
                <w:szCs w:val="22"/>
              </w:rPr>
              <w:t xml:space="preserve"> Comments focused mainly on </w:t>
            </w:r>
            <w:r w:rsidR="00AE5C7A" w:rsidRPr="0062173B">
              <w:rPr>
                <w:rFonts w:asciiTheme="minorHAnsi" w:hAnsiTheme="minorHAnsi"/>
                <w:sz w:val="22"/>
                <w:szCs w:val="22"/>
              </w:rPr>
              <w:t xml:space="preserve">concerns about </w:t>
            </w:r>
            <w:r w:rsidR="00CE4BEB" w:rsidRPr="0062173B">
              <w:rPr>
                <w:rFonts w:asciiTheme="minorHAnsi" w:hAnsiTheme="minorHAnsi"/>
                <w:sz w:val="22"/>
                <w:szCs w:val="22"/>
              </w:rPr>
              <w:t>the proposal that chairs of court be elected.</w:t>
            </w:r>
            <w:r w:rsidRPr="0062173B">
              <w:rPr>
                <w:rFonts w:asciiTheme="minorHAnsi" w:hAnsiTheme="minorHAnsi"/>
                <w:sz w:val="22"/>
                <w:szCs w:val="22"/>
              </w:rPr>
              <w:t xml:space="preserve">   </w:t>
            </w:r>
            <w:r w:rsidR="00CE4BEB" w:rsidRPr="0062173B">
              <w:rPr>
                <w:rFonts w:asciiTheme="minorHAnsi" w:hAnsiTheme="minorHAnsi"/>
                <w:sz w:val="22"/>
                <w:szCs w:val="22"/>
              </w:rPr>
              <w:t>The Chair of Court advised that s</w:t>
            </w:r>
            <w:r w:rsidRPr="0062173B">
              <w:rPr>
                <w:rFonts w:asciiTheme="minorHAnsi" w:hAnsiTheme="minorHAnsi"/>
                <w:sz w:val="22"/>
                <w:szCs w:val="22"/>
              </w:rPr>
              <w:t xml:space="preserve">ubmissions </w:t>
            </w:r>
            <w:r w:rsidR="00CE4BEB" w:rsidRPr="0062173B">
              <w:rPr>
                <w:rFonts w:asciiTheme="minorHAnsi" w:hAnsiTheme="minorHAnsi"/>
                <w:sz w:val="22"/>
                <w:szCs w:val="22"/>
              </w:rPr>
              <w:t xml:space="preserve">on the consultation paper </w:t>
            </w:r>
            <w:r w:rsidRPr="0062173B">
              <w:rPr>
                <w:rFonts w:asciiTheme="minorHAnsi" w:hAnsiTheme="minorHAnsi"/>
                <w:sz w:val="22"/>
                <w:szCs w:val="22"/>
              </w:rPr>
              <w:t>had been requested by 30</w:t>
            </w:r>
            <w:r w:rsidRPr="0062173B">
              <w:rPr>
                <w:rFonts w:asciiTheme="minorHAnsi" w:hAnsiTheme="minorHAnsi"/>
                <w:sz w:val="22"/>
                <w:szCs w:val="22"/>
                <w:vertAlign w:val="superscript"/>
              </w:rPr>
              <w:t>th</w:t>
            </w:r>
            <w:r w:rsidRPr="0062173B">
              <w:rPr>
                <w:rFonts w:asciiTheme="minorHAnsi" w:hAnsiTheme="minorHAnsi"/>
                <w:sz w:val="22"/>
                <w:szCs w:val="22"/>
              </w:rPr>
              <w:t xml:space="preserve"> January 2015.  Universities Scotland and the Committee of Scottish Chairs were considering how the sector </w:t>
            </w:r>
            <w:r w:rsidR="00C439C4" w:rsidRPr="0062173B">
              <w:rPr>
                <w:rFonts w:asciiTheme="minorHAnsi" w:hAnsiTheme="minorHAnsi"/>
                <w:sz w:val="22"/>
                <w:szCs w:val="22"/>
              </w:rPr>
              <w:t xml:space="preserve">as a whole </w:t>
            </w:r>
            <w:r w:rsidRPr="0062173B">
              <w:rPr>
                <w:rFonts w:asciiTheme="minorHAnsi" w:hAnsiTheme="minorHAnsi"/>
                <w:sz w:val="22"/>
                <w:szCs w:val="22"/>
              </w:rPr>
              <w:t xml:space="preserve">should respond but it was likely that all HEIs would be encouraged to submit a response. The Chair </w:t>
            </w:r>
            <w:r w:rsidR="00CE4BEB" w:rsidRPr="0062173B">
              <w:rPr>
                <w:rFonts w:asciiTheme="minorHAnsi" w:hAnsiTheme="minorHAnsi"/>
                <w:sz w:val="22"/>
                <w:szCs w:val="22"/>
              </w:rPr>
              <w:t>recommended</w:t>
            </w:r>
            <w:r w:rsidRPr="0062173B">
              <w:rPr>
                <w:rFonts w:asciiTheme="minorHAnsi" w:hAnsiTheme="minorHAnsi"/>
                <w:sz w:val="22"/>
                <w:szCs w:val="22"/>
              </w:rPr>
              <w:t xml:space="preserve"> that GCU did so</w:t>
            </w:r>
            <w:r w:rsidR="00CE4BEB" w:rsidRPr="0062173B">
              <w:rPr>
                <w:rFonts w:asciiTheme="minorHAnsi" w:hAnsiTheme="minorHAnsi"/>
                <w:sz w:val="22"/>
                <w:szCs w:val="22"/>
              </w:rPr>
              <w:t>.  Court endorsed this suggestion.</w:t>
            </w:r>
            <w:r w:rsidR="00AE5C7A" w:rsidRPr="0062173B">
              <w:rPr>
                <w:rFonts w:asciiTheme="minorHAnsi" w:hAnsiTheme="minorHAnsi"/>
                <w:sz w:val="22"/>
                <w:szCs w:val="22"/>
              </w:rPr>
              <w:t xml:space="preserve"> The Chair stated that he and the Vice Chair of Court would be liaising with the Scottish Chairs and the Principal with Universities Scotland. </w:t>
            </w:r>
            <w:r w:rsidRPr="0062173B">
              <w:rPr>
                <w:rFonts w:asciiTheme="minorHAnsi" w:hAnsiTheme="minorHAnsi"/>
                <w:sz w:val="22"/>
                <w:szCs w:val="22"/>
              </w:rPr>
              <w:t>Given the tight timescale</w:t>
            </w:r>
            <w:r w:rsidR="00AE5C7A" w:rsidRPr="0062173B">
              <w:rPr>
                <w:rFonts w:asciiTheme="minorHAnsi" w:hAnsiTheme="minorHAnsi"/>
                <w:sz w:val="22"/>
                <w:szCs w:val="22"/>
              </w:rPr>
              <w:t xml:space="preserve"> for responses to the consultation</w:t>
            </w:r>
            <w:r w:rsidRPr="0062173B">
              <w:rPr>
                <w:rFonts w:asciiTheme="minorHAnsi" w:hAnsiTheme="minorHAnsi"/>
                <w:sz w:val="22"/>
                <w:szCs w:val="22"/>
              </w:rPr>
              <w:t>, the draft submission would be circulated to Court prior to being discussed at the meeting on 29</w:t>
            </w:r>
            <w:r w:rsidRPr="0062173B">
              <w:rPr>
                <w:rFonts w:asciiTheme="minorHAnsi" w:hAnsiTheme="minorHAnsi"/>
                <w:sz w:val="22"/>
                <w:szCs w:val="22"/>
                <w:vertAlign w:val="superscript"/>
              </w:rPr>
              <w:t>th</w:t>
            </w:r>
            <w:r w:rsidRPr="0062173B">
              <w:rPr>
                <w:rFonts w:asciiTheme="minorHAnsi" w:hAnsiTheme="minorHAnsi"/>
                <w:sz w:val="22"/>
                <w:szCs w:val="22"/>
              </w:rPr>
              <w:t xml:space="preserve"> January 2015.</w:t>
            </w:r>
            <w:r w:rsidR="0061300E" w:rsidRPr="0062173B">
              <w:rPr>
                <w:rFonts w:asciiTheme="minorHAnsi" w:hAnsiTheme="minorHAnsi"/>
                <w:sz w:val="22"/>
                <w:szCs w:val="22"/>
              </w:rPr>
              <w:t xml:space="preserve"> </w:t>
            </w:r>
          </w:p>
        </w:tc>
      </w:tr>
      <w:tr w:rsidR="001B1573" w:rsidRPr="0062173B" w:rsidTr="002D2034">
        <w:tc>
          <w:tcPr>
            <w:tcW w:w="959" w:type="dxa"/>
          </w:tcPr>
          <w:p w:rsidR="001B1573" w:rsidRPr="0062173B" w:rsidRDefault="001B1573" w:rsidP="00754C04">
            <w:pPr>
              <w:pStyle w:val="NoSpacing"/>
              <w:jc w:val="both"/>
              <w:rPr>
                <w:rFonts w:asciiTheme="minorHAnsi" w:hAnsiTheme="minorHAnsi" w:cstheme="minorHAnsi"/>
              </w:rPr>
            </w:pPr>
          </w:p>
        </w:tc>
        <w:tc>
          <w:tcPr>
            <w:tcW w:w="1276" w:type="dxa"/>
          </w:tcPr>
          <w:p w:rsidR="001B1573" w:rsidRPr="0062173B" w:rsidRDefault="001B1573" w:rsidP="00754C04">
            <w:pPr>
              <w:pStyle w:val="NoSpacing"/>
              <w:jc w:val="both"/>
              <w:rPr>
                <w:rFonts w:asciiTheme="minorHAnsi" w:hAnsiTheme="minorHAnsi" w:cstheme="minorHAnsi"/>
              </w:rPr>
            </w:pPr>
          </w:p>
        </w:tc>
        <w:tc>
          <w:tcPr>
            <w:tcW w:w="708" w:type="dxa"/>
          </w:tcPr>
          <w:p w:rsidR="001B1573" w:rsidRPr="0062173B" w:rsidRDefault="001B1573" w:rsidP="00754C04">
            <w:pPr>
              <w:pStyle w:val="NoSpacing"/>
              <w:jc w:val="both"/>
              <w:rPr>
                <w:rFonts w:asciiTheme="minorHAnsi" w:hAnsiTheme="minorHAnsi" w:cstheme="minorHAnsi"/>
              </w:rPr>
            </w:pPr>
          </w:p>
        </w:tc>
        <w:tc>
          <w:tcPr>
            <w:tcW w:w="7655" w:type="dxa"/>
          </w:tcPr>
          <w:p w:rsidR="001B1573" w:rsidRPr="0062173B" w:rsidRDefault="001B1573" w:rsidP="001B1573">
            <w:pPr>
              <w:jc w:val="both"/>
              <w:rPr>
                <w:rFonts w:asciiTheme="minorHAnsi" w:hAnsiTheme="minorHAnsi"/>
                <w:sz w:val="22"/>
                <w:szCs w:val="22"/>
              </w:rPr>
            </w:pPr>
          </w:p>
        </w:tc>
      </w:tr>
      <w:tr w:rsidR="001B1573" w:rsidRPr="0062173B" w:rsidTr="002D2034">
        <w:tc>
          <w:tcPr>
            <w:tcW w:w="959" w:type="dxa"/>
          </w:tcPr>
          <w:p w:rsidR="001B1573" w:rsidRPr="0062173B" w:rsidRDefault="001B1573" w:rsidP="00754C04">
            <w:pPr>
              <w:pStyle w:val="NoSpacing"/>
              <w:jc w:val="both"/>
              <w:rPr>
                <w:rFonts w:asciiTheme="minorHAnsi" w:hAnsiTheme="minorHAnsi" w:cstheme="minorHAnsi"/>
              </w:rPr>
            </w:pPr>
          </w:p>
        </w:tc>
        <w:tc>
          <w:tcPr>
            <w:tcW w:w="1276" w:type="dxa"/>
          </w:tcPr>
          <w:p w:rsidR="001B1573" w:rsidRPr="0062173B" w:rsidRDefault="001B1573" w:rsidP="00754C04">
            <w:pPr>
              <w:pStyle w:val="NoSpacing"/>
              <w:jc w:val="both"/>
              <w:rPr>
                <w:rFonts w:asciiTheme="minorHAnsi" w:hAnsiTheme="minorHAnsi" w:cstheme="minorHAnsi"/>
              </w:rPr>
            </w:pPr>
          </w:p>
        </w:tc>
        <w:tc>
          <w:tcPr>
            <w:tcW w:w="708" w:type="dxa"/>
          </w:tcPr>
          <w:p w:rsidR="001B1573" w:rsidRPr="0062173B" w:rsidRDefault="001B1573" w:rsidP="00754C04">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1B1573" w:rsidRPr="0062173B" w:rsidRDefault="001B1573" w:rsidP="00C439C4">
            <w:pPr>
              <w:jc w:val="both"/>
              <w:rPr>
                <w:rFonts w:asciiTheme="minorHAnsi" w:hAnsiTheme="minorHAnsi"/>
                <w:sz w:val="22"/>
                <w:szCs w:val="22"/>
              </w:rPr>
            </w:pPr>
            <w:r w:rsidRPr="0062173B">
              <w:rPr>
                <w:rFonts w:asciiTheme="minorHAnsi" w:hAnsiTheme="minorHAnsi"/>
                <w:sz w:val="22"/>
                <w:szCs w:val="22"/>
              </w:rPr>
              <w:t xml:space="preserve">The Chair referred to Court’s visits to the Schools which governors had found to be informative and an effective way of enhancing their understanding of the work of the Schools. Building on the success of these visits, it was proposed </w:t>
            </w:r>
            <w:r w:rsidR="00C439C4" w:rsidRPr="0062173B">
              <w:rPr>
                <w:rFonts w:asciiTheme="minorHAnsi" w:hAnsiTheme="minorHAnsi"/>
                <w:sz w:val="22"/>
                <w:szCs w:val="22"/>
              </w:rPr>
              <w:t xml:space="preserve">to identify a topic such as “the student experience for international students” and devise a visit which would bring in a range of services. </w:t>
            </w:r>
            <w:r w:rsidR="00340AC5" w:rsidRPr="0062173B">
              <w:rPr>
                <w:rFonts w:asciiTheme="minorHAnsi" w:hAnsiTheme="minorHAnsi"/>
                <w:sz w:val="22"/>
                <w:szCs w:val="22"/>
              </w:rPr>
              <w:t xml:space="preserve">Court members supported this proposal.  The Court Secretariat would </w:t>
            </w:r>
            <w:r w:rsidR="00C439C4" w:rsidRPr="0062173B">
              <w:rPr>
                <w:rFonts w:asciiTheme="minorHAnsi" w:hAnsiTheme="minorHAnsi"/>
                <w:sz w:val="22"/>
                <w:szCs w:val="22"/>
              </w:rPr>
              <w:t>make arrangements.</w:t>
            </w:r>
          </w:p>
        </w:tc>
      </w:tr>
    </w:tbl>
    <w:p w:rsidR="003905DD" w:rsidRPr="0062173B" w:rsidRDefault="003905DD" w:rsidP="00754C04">
      <w:pPr>
        <w:pStyle w:val="NoSpacing"/>
        <w:jc w:val="both"/>
        <w:rPr>
          <w:rFonts w:asciiTheme="minorHAnsi" w:hAnsiTheme="minorHAnsi" w:cstheme="minorHAnsi"/>
          <w:b/>
        </w:rPr>
      </w:pP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Principal’s</w:t>
      </w:r>
      <w:r w:rsidR="0081707F" w:rsidRPr="0062173B">
        <w:rPr>
          <w:rFonts w:asciiTheme="minorHAnsi" w:hAnsiTheme="minorHAnsi" w:cstheme="minorHAnsi"/>
          <w:b/>
        </w:rPr>
        <w:t xml:space="preserve"> and Executive Board</w:t>
      </w:r>
      <w:r w:rsidRPr="0062173B">
        <w:rPr>
          <w:rFonts w:asciiTheme="minorHAnsi" w:hAnsiTheme="minorHAnsi" w:cstheme="minorHAnsi"/>
          <w:b/>
        </w:rPr>
        <w:t xml:space="preserve"> Report</w:t>
      </w:r>
    </w:p>
    <w:p w:rsidR="007676CF" w:rsidRPr="0062173B" w:rsidRDefault="007676CF"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7676CF" w:rsidRPr="0062173B" w:rsidTr="002D2034">
        <w:tc>
          <w:tcPr>
            <w:tcW w:w="959" w:type="dxa"/>
          </w:tcPr>
          <w:p w:rsidR="007676CF" w:rsidRPr="0062173B" w:rsidRDefault="00B05143" w:rsidP="00CE4BEB">
            <w:pPr>
              <w:pStyle w:val="NoSpacing"/>
              <w:jc w:val="both"/>
              <w:rPr>
                <w:rFonts w:asciiTheme="minorHAnsi" w:hAnsiTheme="minorHAnsi" w:cstheme="minorHAnsi"/>
              </w:rPr>
            </w:pPr>
            <w:r w:rsidRPr="0062173B">
              <w:rPr>
                <w:rFonts w:asciiTheme="minorHAnsi" w:hAnsiTheme="minorHAnsi" w:cstheme="minorHAnsi"/>
              </w:rPr>
              <w:t>1</w:t>
            </w:r>
            <w:r w:rsidR="00BB6D2C" w:rsidRPr="0062173B">
              <w:rPr>
                <w:rFonts w:asciiTheme="minorHAnsi" w:hAnsiTheme="minorHAnsi" w:cstheme="minorHAnsi"/>
              </w:rPr>
              <w:t>4</w:t>
            </w:r>
            <w:r w:rsidRPr="0062173B">
              <w:rPr>
                <w:rFonts w:asciiTheme="minorHAnsi" w:hAnsiTheme="minorHAnsi" w:cstheme="minorHAnsi"/>
              </w:rPr>
              <w:t>.</w:t>
            </w:r>
            <w:r w:rsidR="00680DBB" w:rsidRPr="0062173B">
              <w:rPr>
                <w:rFonts w:asciiTheme="minorHAnsi" w:hAnsiTheme="minorHAnsi" w:cstheme="minorHAnsi"/>
              </w:rPr>
              <w:t>4</w:t>
            </w:r>
            <w:r w:rsidR="00CE4BEB" w:rsidRPr="0062173B">
              <w:rPr>
                <w:rFonts w:asciiTheme="minorHAnsi" w:hAnsiTheme="minorHAnsi" w:cstheme="minorHAnsi"/>
              </w:rPr>
              <w:t>2</w:t>
            </w:r>
          </w:p>
        </w:tc>
        <w:tc>
          <w:tcPr>
            <w:tcW w:w="1276" w:type="dxa"/>
          </w:tcPr>
          <w:p w:rsidR="007676CF" w:rsidRPr="0062173B" w:rsidRDefault="00BB6D2C" w:rsidP="00754C04">
            <w:pPr>
              <w:pStyle w:val="NoSpacing"/>
              <w:jc w:val="both"/>
              <w:rPr>
                <w:rFonts w:asciiTheme="minorHAnsi" w:hAnsiTheme="minorHAnsi" w:cstheme="minorHAnsi"/>
              </w:rPr>
            </w:pPr>
            <w:r w:rsidRPr="0062173B">
              <w:rPr>
                <w:rFonts w:asciiTheme="minorHAnsi" w:hAnsiTheme="minorHAnsi" w:cstheme="minorHAnsi"/>
              </w:rPr>
              <w:t>Received</w:t>
            </w:r>
          </w:p>
        </w:tc>
        <w:tc>
          <w:tcPr>
            <w:tcW w:w="708" w:type="dxa"/>
          </w:tcPr>
          <w:p w:rsidR="007676CF" w:rsidRPr="0062173B" w:rsidRDefault="007676CF" w:rsidP="00754C04">
            <w:pPr>
              <w:pStyle w:val="NoSpacing"/>
              <w:jc w:val="both"/>
              <w:rPr>
                <w:rFonts w:asciiTheme="minorHAnsi" w:hAnsiTheme="minorHAnsi" w:cstheme="minorHAnsi"/>
              </w:rPr>
            </w:pPr>
          </w:p>
        </w:tc>
        <w:tc>
          <w:tcPr>
            <w:tcW w:w="7655" w:type="dxa"/>
          </w:tcPr>
          <w:p w:rsidR="007676CF" w:rsidRPr="0062173B" w:rsidRDefault="003B2544" w:rsidP="00190304">
            <w:pPr>
              <w:pStyle w:val="NoSpacing"/>
              <w:jc w:val="both"/>
              <w:rPr>
                <w:rFonts w:asciiTheme="minorHAnsi" w:hAnsiTheme="minorHAnsi" w:cstheme="minorHAnsi"/>
              </w:rPr>
            </w:pPr>
            <w:r w:rsidRPr="0062173B">
              <w:rPr>
                <w:rFonts w:asciiTheme="minorHAnsi" w:hAnsiTheme="minorHAnsi" w:cstheme="minorHAnsi"/>
              </w:rPr>
              <w:t>Document UC</w:t>
            </w:r>
            <w:r w:rsidR="00B05143" w:rsidRPr="0062173B">
              <w:rPr>
                <w:rFonts w:asciiTheme="minorHAnsi" w:hAnsiTheme="minorHAnsi" w:cstheme="minorHAnsi"/>
              </w:rPr>
              <w:t>1</w:t>
            </w:r>
            <w:r w:rsidR="00BB6D2C" w:rsidRPr="0062173B">
              <w:rPr>
                <w:rFonts w:asciiTheme="minorHAnsi" w:hAnsiTheme="minorHAnsi" w:cstheme="minorHAnsi"/>
              </w:rPr>
              <w:t>4</w:t>
            </w:r>
            <w:r w:rsidRPr="0062173B">
              <w:rPr>
                <w:rFonts w:asciiTheme="minorHAnsi" w:hAnsiTheme="minorHAnsi" w:cstheme="minorHAnsi"/>
              </w:rPr>
              <w:t>/</w:t>
            </w:r>
            <w:r w:rsidR="00190304" w:rsidRPr="0062173B">
              <w:rPr>
                <w:rFonts w:asciiTheme="minorHAnsi" w:hAnsiTheme="minorHAnsi" w:cstheme="minorHAnsi"/>
              </w:rPr>
              <w:t>20</w:t>
            </w:r>
            <w:r w:rsidR="007676CF" w:rsidRPr="0062173B">
              <w:rPr>
                <w:rFonts w:asciiTheme="minorHAnsi" w:hAnsiTheme="minorHAnsi" w:cstheme="minorHAnsi"/>
              </w:rPr>
              <w:t xml:space="preserve">, the Principal’s </w:t>
            </w:r>
            <w:r w:rsidR="0081707F" w:rsidRPr="0062173B">
              <w:rPr>
                <w:rFonts w:asciiTheme="minorHAnsi" w:hAnsiTheme="minorHAnsi" w:cstheme="minorHAnsi"/>
              </w:rPr>
              <w:t>and Executive Board R</w:t>
            </w:r>
            <w:r w:rsidR="007676CF" w:rsidRPr="0062173B">
              <w:rPr>
                <w:rFonts w:asciiTheme="minorHAnsi" w:hAnsiTheme="minorHAnsi" w:cstheme="minorHAnsi"/>
              </w:rPr>
              <w:t xml:space="preserve">eport to Court. </w:t>
            </w:r>
          </w:p>
        </w:tc>
      </w:tr>
      <w:tr w:rsidR="008D255B" w:rsidRPr="0062173B" w:rsidTr="002D2034">
        <w:tc>
          <w:tcPr>
            <w:tcW w:w="959" w:type="dxa"/>
          </w:tcPr>
          <w:p w:rsidR="008D255B" w:rsidRPr="0062173B" w:rsidRDefault="008D255B" w:rsidP="00754C04">
            <w:pPr>
              <w:pStyle w:val="NoSpacing"/>
              <w:jc w:val="both"/>
              <w:rPr>
                <w:rFonts w:asciiTheme="minorHAnsi" w:hAnsiTheme="minorHAnsi" w:cstheme="minorHAnsi"/>
                <w:b/>
              </w:rPr>
            </w:pPr>
          </w:p>
        </w:tc>
        <w:tc>
          <w:tcPr>
            <w:tcW w:w="1276" w:type="dxa"/>
          </w:tcPr>
          <w:p w:rsidR="008D255B" w:rsidRPr="0062173B" w:rsidRDefault="008D255B" w:rsidP="00754C04">
            <w:pPr>
              <w:pStyle w:val="NoSpacing"/>
              <w:jc w:val="both"/>
              <w:rPr>
                <w:rFonts w:asciiTheme="minorHAnsi" w:hAnsiTheme="minorHAnsi" w:cstheme="minorHAnsi"/>
                <w:b/>
              </w:rPr>
            </w:pPr>
          </w:p>
        </w:tc>
        <w:tc>
          <w:tcPr>
            <w:tcW w:w="708" w:type="dxa"/>
          </w:tcPr>
          <w:p w:rsidR="008D255B" w:rsidRPr="0062173B" w:rsidRDefault="008D255B" w:rsidP="00754C04">
            <w:pPr>
              <w:pStyle w:val="NoSpacing"/>
              <w:jc w:val="both"/>
              <w:rPr>
                <w:rFonts w:asciiTheme="minorHAnsi" w:hAnsiTheme="minorHAnsi" w:cstheme="minorHAnsi"/>
                <w:b/>
              </w:rPr>
            </w:pPr>
          </w:p>
        </w:tc>
        <w:tc>
          <w:tcPr>
            <w:tcW w:w="7655" w:type="dxa"/>
          </w:tcPr>
          <w:p w:rsidR="008D255B" w:rsidRPr="0062173B" w:rsidRDefault="008D255B" w:rsidP="00A046A6">
            <w:pPr>
              <w:pStyle w:val="NoSpacing"/>
              <w:jc w:val="both"/>
              <w:rPr>
                <w:rFonts w:asciiTheme="minorHAnsi" w:hAnsiTheme="minorHAnsi" w:cstheme="minorHAnsi"/>
                <w:b/>
              </w:rPr>
            </w:pPr>
          </w:p>
        </w:tc>
      </w:tr>
      <w:tr w:rsidR="007676CF" w:rsidRPr="0062173B" w:rsidTr="002D2034">
        <w:tc>
          <w:tcPr>
            <w:tcW w:w="959" w:type="dxa"/>
          </w:tcPr>
          <w:p w:rsidR="007676CF" w:rsidRPr="0062173B" w:rsidRDefault="00BB6D2C" w:rsidP="00CE4BEB">
            <w:pPr>
              <w:pStyle w:val="NoSpacing"/>
              <w:jc w:val="both"/>
              <w:rPr>
                <w:rFonts w:asciiTheme="minorHAnsi" w:hAnsiTheme="minorHAnsi" w:cstheme="minorHAnsi"/>
              </w:rPr>
            </w:pPr>
            <w:r w:rsidRPr="0062173B">
              <w:rPr>
                <w:rFonts w:asciiTheme="minorHAnsi" w:hAnsiTheme="minorHAnsi" w:cstheme="minorHAnsi"/>
              </w:rPr>
              <w:t>14.4</w:t>
            </w:r>
            <w:r w:rsidR="00CE4BEB" w:rsidRPr="0062173B">
              <w:rPr>
                <w:rFonts w:asciiTheme="minorHAnsi" w:hAnsiTheme="minorHAnsi" w:cstheme="minorHAnsi"/>
              </w:rPr>
              <w:t>3</w:t>
            </w:r>
          </w:p>
        </w:tc>
        <w:tc>
          <w:tcPr>
            <w:tcW w:w="1276" w:type="dxa"/>
          </w:tcPr>
          <w:p w:rsidR="007676CF" w:rsidRPr="0062173B" w:rsidRDefault="00BB6D2C" w:rsidP="00754C04">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7676CF" w:rsidRPr="0062173B" w:rsidRDefault="00BB6D2C" w:rsidP="00754C04">
            <w:pPr>
              <w:pStyle w:val="NoSpacing"/>
              <w:jc w:val="both"/>
              <w:rPr>
                <w:rFonts w:asciiTheme="minorHAnsi" w:hAnsiTheme="minorHAnsi" w:cstheme="minorHAnsi"/>
              </w:rPr>
            </w:pPr>
            <w:r w:rsidRPr="0062173B">
              <w:rPr>
                <w:rFonts w:asciiTheme="minorHAnsi" w:hAnsiTheme="minorHAnsi" w:cstheme="minorHAnsi"/>
              </w:rPr>
              <w:t>i</w:t>
            </w:r>
            <w:r w:rsidR="005871AB" w:rsidRPr="0062173B">
              <w:rPr>
                <w:rFonts w:asciiTheme="minorHAnsi" w:hAnsiTheme="minorHAnsi" w:cstheme="minorHAnsi"/>
              </w:rPr>
              <w:t>.</w:t>
            </w:r>
          </w:p>
        </w:tc>
        <w:tc>
          <w:tcPr>
            <w:tcW w:w="7655" w:type="dxa"/>
          </w:tcPr>
          <w:p w:rsidR="007676CF" w:rsidRPr="0062173B" w:rsidRDefault="00BB6D2C" w:rsidP="00C439C4">
            <w:pPr>
              <w:pStyle w:val="NoSpacing"/>
              <w:jc w:val="both"/>
              <w:rPr>
                <w:rFonts w:asciiTheme="minorHAnsi" w:hAnsiTheme="minorHAnsi" w:cstheme="minorHAnsi"/>
              </w:rPr>
            </w:pPr>
            <w:r w:rsidRPr="0062173B">
              <w:rPr>
                <w:rFonts w:asciiTheme="minorHAnsi" w:hAnsiTheme="minorHAnsi" w:cstheme="minorHAnsi"/>
              </w:rPr>
              <w:t>The Principal</w:t>
            </w:r>
            <w:r w:rsidR="00B611D7" w:rsidRPr="0062173B">
              <w:rPr>
                <w:rFonts w:asciiTheme="minorHAnsi" w:hAnsiTheme="minorHAnsi" w:cstheme="minorHAnsi"/>
              </w:rPr>
              <w:t xml:space="preserve"> reported that t</w:t>
            </w:r>
            <w:r w:rsidRPr="0062173B">
              <w:rPr>
                <w:rFonts w:asciiTheme="minorHAnsi" w:hAnsiTheme="minorHAnsi" w:cstheme="minorHAnsi"/>
              </w:rPr>
              <w:t xml:space="preserve">he Scottish Funding Council had visited the University that day to meet with </w:t>
            </w:r>
            <w:r w:rsidR="00C439C4" w:rsidRPr="0062173B">
              <w:rPr>
                <w:rFonts w:asciiTheme="minorHAnsi" w:hAnsiTheme="minorHAnsi" w:cstheme="minorHAnsi"/>
              </w:rPr>
              <w:t xml:space="preserve">her, </w:t>
            </w:r>
            <w:r w:rsidRPr="0062173B">
              <w:rPr>
                <w:rFonts w:asciiTheme="minorHAnsi" w:hAnsiTheme="minorHAnsi" w:cstheme="minorHAnsi"/>
              </w:rPr>
              <w:t>the Deputy Vice-Chancellor</w:t>
            </w:r>
            <w:r w:rsidR="00C439C4" w:rsidRPr="0062173B">
              <w:rPr>
                <w:rFonts w:asciiTheme="minorHAnsi" w:hAnsiTheme="minorHAnsi" w:cstheme="minorHAnsi"/>
              </w:rPr>
              <w:t xml:space="preserve"> and</w:t>
            </w:r>
            <w:r w:rsidR="00B611D7" w:rsidRPr="0062173B">
              <w:rPr>
                <w:rFonts w:asciiTheme="minorHAnsi" w:hAnsiTheme="minorHAnsi" w:cstheme="minorHAnsi"/>
              </w:rPr>
              <w:t xml:space="preserve"> the</w:t>
            </w:r>
            <w:r w:rsidRPr="0062173B">
              <w:rPr>
                <w:rFonts w:asciiTheme="minorHAnsi" w:hAnsiTheme="minorHAnsi" w:cstheme="minorHAnsi"/>
              </w:rPr>
              <w:t xml:space="preserve"> Director of Strategy and Planning</w:t>
            </w:r>
            <w:r w:rsidR="00B611D7" w:rsidRPr="0062173B">
              <w:rPr>
                <w:rFonts w:asciiTheme="minorHAnsi" w:hAnsiTheme="minorHAnsi" w:cstheme="minorHAnsi"/>
              </w:rPr>
              <w:t xml:space="preserve"> </w:t>
            </w:r>
            <w:r w:rsidRPr="0062173B">
              <w:rPr>
                <w:rFonts w:asciiTheme="minorHAnsi" w:hAnsiTheme="minorHAnsi" w:cstheme="minorHAnsi"/>
              </w:rPr>
              <w:t xml:space="preserve"> as part of the negotiations on the Outcome Agreement.  The meeting had been positive</w:t>
            </w:r>
            <w:r w:rsidR="00340AC5" w:rsidRPr="0062173B">
              <w:rPr>
                <w:rFonts w:asciiTheme="minorHAnsi" w:hAnsiTheme="minorHAnsi" w:cstheme="minorHAnsi"/>
              </w:rPr>
              <w:t xml:space="preserve">.  </w:t>
            </w:r>
          </w:p>
        </w:tc>
      </w:tr>
      <w:tr w:rsidR="007676CF" w:rsidRPr="0062173B" w:rsidTr="002D2034">
        <w:tc>
          <w:tcPr>
            <w:tcW w:w="959" w:type="dxa"/>
          </w:tcPr>
          <w:p w:rsidR="007676CF" w:rsidRPr="0062173B" w:rsidRDefault="007676CF" w:rsidP="00754C04">
            <w:pPr>
              <w:pStyle w:val="NoSpacing"/>
              <w:jc w:val="both"/>
              <w:rPr>
                <w:rFonts w:asciiTheme="minorHAnsi" w:hAnsiTheme="minorHAnsi" w:cstheme="minorHAnsi"/>
                <w:b/>
              </w:rPr>
            </w:pPr>
          </w:p>
        </w:tc>
        <w:tc>
          <w:tcPr>
            <w:tcW w:w="1276" w:type="dxa"/>
          </w:tcPr>
          <w:p w:rsidR="007676CF" w:rsidRPr="0062173B" w:rsidRDefault="007676CF" w:rsidP="00754C04">
            <w:pPr>
              <w:pStyle w:val="NoSpacing"/>
              <w:jc w:val="both"/>
              <w:rPr>
                <w:rFonts w:asciiTheme="minorHAnsi" w:hAnsiTheme="minorHAnsi" w:cstheme="minorHAnsi"/>
              </w:rPr>
            </w:pPr>
          </w:p>
        </w:tc>
        <w:tc>
          <w:tcPr>
            <w:tcW w:w="708" w:type="dxa"/>
          </w:tcPr>
          <w:p w:rsidR="007676CF" w:rsidRPr="0062173B" w:rsidRDefault="007676CF" w:rsidP="00754C04">
            <w:pPr>
              <w:pStyle w:val="NoSpacing"/>
              <w:jc w:val="both"/>
              <w:rPr>
                <w:rFonts w:asciiTheme="minorHAnsi" w:hAnsiTheme="minorHAnsi" w:cstheme="minorHAnsi"/>
              </w:rPr>
            </w:pPr>
          </w:p>
        </w:tc>
        <w:tc>
          <w:tcPr>
            <w:tcW w:w="7655" w:type="dxa"/>
          </w:tcPr>
          <w:p w:rsidR="007676CF" w:rsidRPr="0062173B" w:rsidRDefault="007676CF" w:rsidP="00A046A6">
            <w:pPr>
              <w:pStyle w:val="NoSpacing"/>
              <w:jc w:val="both"/>
              <w:rPr>
                <w:rFonts w:asciiTheme="minorHAnsi" w:hAnsiTheme="minorHAnsi" w:cstheme="minorHAnsi"/>
              </w:rPr>
            </w:pPr>
          </w:p>
        </w:tc>
      </w:tr>
      <w:tr w:rsidR="007676CF" w:rsidRPr="0062173B" w:rsidTr="002D2034">
        <w:tc>
          <w:tcPr>
            <w:tcW w:w="959" w:type="dxa"/>
          </w:tcPr>
          <w:p w:rsidR="007676CF" w:rsidRPr="0062173B" w:rsidRDefault="007676CF" w:rsidP="00754C04">
            <w:pPr>
              <w:pStyle w:val="NoSpacing"/>
              <w:jc w:val="both"/>
              <w:rPr>
                <w:rFonts w:asciiTheme="minorHAnsi" w:hAnsiTheme="minorHAnsi" w:cstheme="minorHAnsi"/>
                <w:b/>
              </w:rPr>
            </w:pPr>
          </w:p>
        </w:tc>
        <w:tc>
          <w:tcPr>
            <w:tcW w:w="1276" w:type="dxa"/>
          </w:tcPr>
          <w:p w:rsidR="007676CF" w:rsidRPr="0062173B" w:rsidRDefault="007676CF" w:rsidP="00754C04">
            <w:pPr>
              <w:pStyle w:val="NoSpacing"/>
              <w:jc w:val="both"/>
              <w:rPr>
                <w:rFonts w:asciiTheme="minorHAnsi" w:hAnsiTheme="minorHAnsi" w:cstheme="minorHAnsi"/>
              </w:rPr>
            </w:pPr>
          </w:p>
        </w:tc>
        <w:tc>
          <w:tcPr>
            <w:tcW w:w="708" w:type="dxa"/>
          </w:tcPr>
          <w:p w:rsidR="007676CF" w:rsidRPr="0062173B" w:rsidRDefault="00036658" w:rsidP="00340AC5">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7676CF" w:rsidRPr="0062173B" w:rsidRDefault="0074168A" w:rsidP="00C439C4">
            <w:pPr>
              <w:jc w:val="both"/>
              <w:rPr>
                <w:rFonts w:asciiTheme="minorHAnsi" w:hAnsiTheme="minorHAnsi" w:cstheme="minorHAnsi"/>
                <w:sz w:val="22"/>
                <w:szCs w:val="22"/>
              </w:rPr>
            </w:pPr>
            <w:r w:rsidRPr="0062173B">
              <w:rPr>
                <w:rFonts w:asciiTheme="minorHAnsi" w:hAnsiTheme="minorHAnsi" w:cstheme="minorHAnsi"/>
                <w:sz w:val="22"/>
                <w:szCs w:val="22"/>
              </w:rPr>
              <w:t xml:space="preserve">Following the confirmation of Nicola Sturgeon as the new First Minister for Scotland, a reshuffle of the Scottish Cabinet had taken place. Angela Constance, former Cabinet Secretary for Training, Youth and Women’s Employment, had been appointed as the Cabinet Secretary for Education and Lifelong Learning.  The Principal had written congratulating </w:t>
            </w:r>
            <w:r w:rsidR="00C439C4" w:rsidRPr="0062173B">
              <w:rPr>
                <w:rFonts w:asciiTheme="minorHAnsi" w:hAnsiTheme="minorHAnsi" w:cstheme="minorHAnsi"/>
                <w:sz w:val="22"/>
                <w:szCs w:val="22"/>
              </w:rPr>
              <w:t>both</w:t>
            </w:r>
            <w:r w:rsidRPr="0062173B">
              <w:rPr>
                <w:rFonts w:asciiTheme="minorHAnsi" w:hAnsiTheme="minorHAnsi" w:cstheme="minorHAnsi"/>
                <w:sz w:val="22"/>
                <w:szCs w:val="22"/>
              </w:rPr>
              <w:t xml:space="preserve"> on their new roles.  The Principal stated that she would be requesting a meeting with Ms Constance to inform her about the work of the University.</w:t>
            </w:r>
          </w:p>
        </w:tc>
      </w:tr>
      <w:tr w:rsidR="00B05143" w:rsidRPr="0062173B" w:rsidTr="002D2034">
        <w:tc>
          <w:tcPr>
            <w:tcW w:w="959" w:type="dxa"/>
          </w:tcPr>
          <w:p w:rsidR="00B05143" w:rsidRPr="0062173B" w:rsidRDefault="00B05143" w:rsidP="00754C04">
            <w:pPr>
              <w:pStyle w:val="NoSpacing"/>
              <w:jc w:val="both"/>
              <w:rPr>
                <w:rFonts w:asciiTheme="minorHAnsi" w:hAnsiTheme="minorHAnsi" w:cstheme="minorHAnsi"/>
                <w:b/>
              </w:rPr>
            </w:pPr>
          </w:p>
        </w:tc>
        <w:tc>
          <w:tcPr>
            <w:tcW w:w="1276" w:type="dxa"/>
          </w:tcPr>
          <w:p w:rsidR="00B05143" w:rsidRPr="0062173B" w:rsidRDefault="00B05143" w:rsidP="00754C04">
            <w:pPr>
              <w:pStyle w:val="NoSpacing"/>
              <w:jc w:val="both"/>
              <w:rPr>
                <w:rFonts w:asciiTheme="minorHAnsi" w:hAnsiTheme="minorHAnsi" w:cstheme="minorHAnsi"/>
              </w:rPr>
            </w:pPr>
          </w:p>
        </w:tc>
        <w:tc>
          <w:tcPr>
            <w:tcW w:w="708" w:type="dxa"/>
          </w:tcPr>
          <w:p w:rsidR="00B05143" w:rsidRPr="0062173B" w:rsidRDefault="00B05143" w:rsidP="00754C04">
            <w:pPr>
              <w:pStyle w:val="NoSpacing"/>
              <w:jc w:val="both"/>
              <w:rPr>
                <w:rFonts w:asciiTheme="minorHAnsi" w:hAnsiTheme="minorHAnsi" w:cstheme="minorHAnsi"/>
              </w:rPr>
            </w:pPr>
          </w:p>
        </w:tc>
        <w:tc>
          <w:tcPr>
            <w:tcW w:w="7655" w:type="dxa"/>
          </w:tcPr>
          <w:p w:rsidR="00B05143" w:rsidRPr="0062173B" w:rsidRDefault="00B05143" w:rsidP="00A046A6">
            <w:pPr>
              <w:jc w:val="both"/>
              <w:rPr>
                <w:rFonts w:asciiTheme="minorHAnsi" w:hAnsiTheme="minorHAnsi" w:cstheme="minorHAnsi"/>
                <w:sz w:val="22"/>
                <w:szCs w:val="22"/>
              </w:rPr>
            </w:pPr>
          </w:p>
        </w:tc>
      </w:tr>
      <w:tr w:rsidR="00B05143" w:rsidRPr="0062173B" w:rsidTr="002D2034">
        <w:tc>
          <w:tcPr>
            <w:tcW w:w="959" w:type="dxa"/>
          </w:tcPr>
          <w:p w:rsidR="00B05143" w:rsidRPr="0062173B" w:rsidRDefault="00B05143" w:rsidP="00754C04">
            <w:pPr>
              <w:pStyle w:val="NoSpacing"/>
              <w:jc w:val="both"/>
              <w:rPr>
                <w:rFonts w:asciiTheme="minorHAnsi" w:hAnsiTheme="minorHAnsi" w:cstheme="minorHAnsi"/>
                <w:b/>
              </w:rPr>
            </w:pPr>
          </w:p>
        </w:tc>
        <w:tc>
          <w:tcPr>
            <w:tcW w:w="1276" w:type="dxa"/>
          </w:tcPr>
          <w:p w:rsidR="00B05143" w:rsidRPr="0062173B" w:rsidRDefault="00B05143" w:rsidP="00754C04">
            <w:pPr>
              <w:pStyle w:val="NoSpacing"/>
              <w:jc w:val="both"/>
              <w:rPr>
                <w:rFonts w:asciiTheme="minorHAnsi" w:hAnsiTheme="minorHAnsi" w:cstheme="minorHAnsi"/>
              </w:rPr>
            </w:pPr>
          </w:p>
        </w:tc>
        <w:tc>
          <w:tcPr>
            <w:tcW w:w="708" w:type="dxa"/>
          </w:tcPr>
          <w:p w:rsidR="00B05143" w:rsidRPr="0062173B" w:rsidRDefault="00036658" w:rsidP="00D71D12">
            <w:pPr>
              <w:pStyle w:val="NoSpacing"/>
              <w:jc w:val="both"/>
              <w:rPr>
                <w:rFonts w:asciiTheme="minorHAnsi" w:hAnsiTheme="minorHAnsi" w:cstheme="minorHAnsi"/>
              </w:rPr>
            </w:pPr>
            <w:r w:rsidRPr="0062173B">
              <w:rPr>
                <w:rFonts w:asciiTheme="minorHAnsi" w:hAnsiTheme="minorHAnsi" w:cstheme="minorHAnsi"/>
              </w:rPr>
              <w:t>i</w:t>
            </w:r>
            <w:r w:rsidR="00D71D12" w:rsidRPr="0062173B">
              <w:rPr>
                <w:rFonts w:asciiTheme="minorHAnsi" w:hAnsiTheme="minorHAnsi" w:cstheme="minorHAnsi"/>
              </w:rPr>
              <w:t>ii</w:t>
            </w:r>
            <w:r w:rsidRPr="0062173B">
              <w:rPr>
                <w:rFonts w:asciiTheme="minorHAnsi" w:hAnsiTheme="minorHAnsi" w:cstheme="minorHAnsi"/>
              </w:rPr>
              <w:t>.</w:t>
            </w:r>
          </w:p>
        </w:tc>
        <w:tc>
          <w:tcPr>
            <w:tcW w:w="7655" w:type="dxa"/>
          </w:tcPr>
          <w:p w:rsidR="00B05143" w:rsidRPr="0062173B" w:rsidRDefault="00232508" w:rsidP="00E948E0">
            <w:pPr>
              <w:jc w:val="both"/>
              <w:rPr>
                <w:rFonts w:asciiTheme="minorHAnsi" w:hAnsiTheme="minorHAnsi" w:cstheme="minorHAnsi"/>
                <w:sz w:val="22"/>
                <w:szCs w:val="22"/>
              </w:rPr>
            </w:pPr>
            <w:r w:rsidRPr="0062173B">
              <w:rPr>
                <w:rFonts w:asciiTheme="minorHAnsi" w:hAnsiTheme="minorHAnsi" w:cstheme="minorHAnsi"/>
                <w:sz w:val="22"/>
                <w:szCs w:val="22"/>
              </w:rPr>
              <w:t xml:space="preserve">Taking cognisance of the likelihood of reductions in SFC funding in future years, the Principal stated that a financial planning strategy would be developed </w:t>
            </w:r>
            <w:r w:rsidR="00AE5C7A" w:rsidRPr="0062173B">
              <w:rPr>
                <w:rFonts w:asciiTheme="minorHAnsi" w:hAnsiTheme="minorHAnsi" w:cstheme="minorHAnsi"/>
                <w:sz w:val="22"/>
                <w:szCs w:val="22"/>
              </w:rPr>
              <w:t xml:space="preserve">which would set out various scenarios to address cuts/clawbacks in funding.   </w:t>
            </w:r>
            <w:r w:rsidRPr="0062173B">
              <w:rPr>
                <w:rFonts w:asciiTheme="minorHAnsi" w:hAnsiTheme="minorHAnsi" w:cstheme="minorHAnsi"/>
                <w:sz w:val="22"/>
                <w:szCs w:val="22"/>
              </w:rPr>
              <w:t xml:space="preserve"> </w:t>
            </w:r>
          </w:p>
        </w:tc>
      </w:tr>
    </w:tbl>
    <w:p w:rsidR="00F41A05" w:rsidRPr="0062173B" w:rsidRDefault="00F41A05" w:rsidP="00754C04">
      <w:pPr>
        <w:pStyle w:val="NoSpacing"/>
        <w:jc w:val="both"/>
        <w:rPr>
          <w:rFonts w:asciiTheme="minorHAnsi" w:hAnsiTheme="minorHAnsi" w:cstheme="minorHAnsi"/>
        </w:rPr>
      </w:pP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University Secretary’s Report</w:t>
      </w:r>
    </w:p>
    <w:p w:rsidR="007676CF" w:rsidRPr="0062173B" w:rsidRDefault="007676CF"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7676CF" w:rsidRPr="0062173B" w:rsidTr="002D2034">
        <w:tc>
          <w:tcPr>
            <w:tcW w:w="959" w:type="dxa"/>
          </w:tcPr>
          <w:p w:rsidR="007676CF" w:rsidRPr="0062173B" w:rsidRDefault="00ED4D50" w:rsidP="00AE5C7A">
            <w:pPr>
              <w:pStyle w:val="NoSpacing"/>
              <w:jc w:val="both"/>
              <w:rPr>
                <w:rFonts w:asciiTheme="minorHAnsi" w:hAnsiTheme="minorHAnsi" w:cstheme="minorHAnsi"/>
              </w:rPr>
            </w:pPr>
            <w:r w:rsidRPr="0062173B">
              <w:rPr>
                <w:rFonts w:asciiTheme="minorHAnsi" w:hAnsiTheme="minorHAnsi" w:cstheme="minorHAnsi"/>
              </w:rPr>
              <w:t>1</w:t>
            </w:r>
            <w:r w:rsidR="00190304" w:rsidRPr="0062173B">
              <w:rPr>
                <w:rFonts w:asciiTheme="minorHAnsi" w:hAnsiTheme="minorHAnsi" w:cstheme="minorHAnsi"/>
              </w:rPr>
              <w:t>4</w:t>
            </w:r>
            <w:r w:rsidRPr="0062173B">
              <w:rPr>
                <w:rFonts w:asciiTheme="minorHAnsi" w:hAnsiTheme="minorHAnsi" w:cstheme="minorHAnsi"/>
              </w:rPr>
              <w:t>.</w:t>
            </w:r>
            <w:r w:rsidR="0029399F" w:rsidRPr="0062173B">
              <w:rPr>
                <w:rFonts w:asciiTheme="minorHAnsi" w:hAnsiTheme="minorHAnsi" w:cstheme="minorHAnsi"/>
              </w:rPr>
              <w:t>4</w:t>
            </w:r>
            <w:r w:rsidR="00AE5C7A" w:rsidRPr="0062173B">
              <w:rPr>
                <w:rFonts w:asciiTheme="minorHAnsi" w:hAnsiTheme="minorHAnsi" w:cstheme="minorHAnsi"/>
              </w:rPr>
              <w:t>4</w:t>
            </w:r>
          </w:p>
        </w:tc>
        <w:tc>
          <w:tcPr>
            <w:tcW w:w="1276" w:type="dxa"/>
          </w:tcPr>
          <w:p w:rsidR="007676CF" w:rsidRPr="0062173B" w:rsidRDefault="00190304" w:rsidP="00754C04">
            <w:pPr>
              <w:pStyle w:val="NoSpacing"/>
              <w:jc w:val="both"/>
              <w:rPr>
                <w:rFonts w:asciiTheme="minorHAnsi" w:hAnsiTheme="minorHAnsi" w:cstheme="minorHAnsi"/>
              </w:rPr>
            </w:pPr>
            <w:r w:rsidRPr="0062173B">
              <w:rPr>
                <w:rFonts w:asciiTheme="minorHAnsi" w:hAnsiTheme="minorHAnsi" w:cstheme="minorHAnsi"/>
              </w:rPr>
              <w:t>Received</w:t>
            </w:r>
          </w:p>
        </w:tc>
        <w:tc>
          <w:tcPr>
            <w:tcW w:w="708" w:type="dxa"/>
          </w:tcPr>
          <w:p w:rsidR="007676CF" w:rsidRPr="0062173B" w:rsidRDefault="00237333" w:rsidP="00190304">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7676CF" w:rsidRPr="0062173B" w:rsidRDefault="00ED4D50" w:rsidP="00190304">
            <w:pPr>
              <w:pStyle w:val="NoSpacing"/>
              <w:jc w:val="both"/>
              <w:rPr>
                <w:rFonts w:asciiTheme="minorHAnsi" w:hAnsiTheme="minorHAnsi" w:cstheme="minorHAnsi"/>
              </w:rPr>
            </w:pPr>
            <w:r w:rsidRPr="0062173B">
              <w:rPr>
                <w:rFonts w:asciiTheme="minorHAnsi" w:hAnsiTheme="minorHAnsi" w:cstheme="minorHAnsi"/>
              </w:rPr>
              <w:t>Document UC1</w:t>
            </w:r>
            <w:r w:rsidR="00190304" w:rsidRPr="0062173B">
              <w:rPr>
                <w:rFonts w:asciiTheme="minorHAnsi" w:hAnsiTheme="minorHAnsi" w:cstheme="minorHAnsi"/>
              </w:rPr>
              <w:t>4</w:t>
            </w:r>
            <w:r w:rsidR="009440A7" w:rsidRPr="0062173B">
              <w:rPr>
                <w:rFonts w:asciiTheme="minorHAnsi" w:hAnsiTheme="minorHAnsi" w:cstheme="minorHAnsi"/>
              </w:rPr>
              <w:t>/</w:t>
            </w:r>
            <w:r w:rsidR="00190304" w:rsidRPr="0062173B">
              <w:rPr>
                <w:rFonts w:asciiTheme="minorHAnsi" w:hAnsiTheme="minorHAnsi" w:cstheme="minorHAnsi"/>
              </w:rPr>
              <w:t>21</w:t>
            </w:r>
            <w:r w:rsidR="007676CF" w:rsidRPr="0062173B">
              <w:rPr>
                <w:rFonts w:asciiTheme="minorHAnsi" w:hAnsiTheme="minorHAnsi" w:cstheme="minorHAnsi"/>
              </w:rPr>
              <w:t xml:space="preserve">, the University Secretary’s </w:t>
            </w:r>
            <w:r w:rsidR="00237333" w:rsidRPr="0062173B">
              <w:rPr>
                <w:rFonts w:asciiTheme="minorHAnsi" w:hAnsiTheme="minorHAnsi" w:cstheme="minorHAnsi"/>
              </w:rPr>
              <w:t>Report</w:t>
            </w:r>
            <w:r w:rsidR="00FB52DD" w:rsidRPr="0062173B">
              <w:rPr>
                <w:rFonts w:asciiTheme="minorHAnsi" w:hAnsiTheme="minorHAnsi" w:cstheme="minorHAnsi"/>
              </w:rPr>
              <w:t xml:space="preserve">.  </w:t>
            </w:r>
          </w:p>
        </w:tc>
      </w:tr>
      <w:tr w:rsidR="007676CF" w:rsidRPr="0062173B" w:rsidTr="002D2034">
        <w:tc>
          <w:tcPr>
            <w:tcW w:w="959" w:type="dxa"/>
          </w:tcPr>
          <w:p w:rsidR="007676CF" w:rsidRPr="0062173B" w:rsidRDefault="007676CF" w:rsidP="00754C04">
            <w:pPr>
              <w:pStyle w:val="NoSpacing"/>
              <w:jc w:val="both"/>
              <w:rPr>
                <w:rFonts w:asciiTheme="minorHAnsi" w:hAnsiTheme="minorHAnsi" w:cstheme="minorHAnsi"/>
              </w:rPr>
            </w:pPr>
          </w:p>
        </w:tc>
        <w:tc>
          <w:tcPr>
            <w:tcW w:w="1276" w:type="dxa"/>
          </w:tcPr>
          <w:p w:rsidR="007676CF" w:rsidRPr="0062173B" w:rsidRDefault="007676CF" w:rsidP="00754C04">
            <w:pPr>
              <w:pStyle w:val="NoSpacing"/>
              <w:jc w:val="both"/>
              <w:rPr>
                <w:rFonts w:asciiTheme="minorHAnsi" w:hAnsiTheme="minorHAnsi" w:cstheme="minorHAnsi"/>
              </w:rPr>
            </w:pPr>
          </w:p>
        </w:tc>
        <w:tc>
          <w:tcPr>
            <w:tcW w:w="708" w:type="dxa"/>
          </w:tcPr>
          <w:p w:rsidR="007676CF" w:rsidRPr="0062173B" w:rsidRDefault="007676CF" w:rsidP="00754C04">
            <w:pPr>
              <w:pStyle w:val="NoSpacing"/>
              <w:jc w:val="both"/>
              <w:rPr>
                <w:rFonts w:asciiTheme="minorHAnsi" w:hAnsiTheme="minorHAnsi" w:cstheme="minorHAnsi"/>
              </w:rPr>
            </w:pPr>
          </w:p>
        </w:tc>
        <w:tc>
          <w:tcPr>
            <w:tcW w:w="7655" w:type="dxa"/>
          </w:tcPr>
          <w:p w:rsidR="007676CF" w:rsidRPr="0062173B" w:rsidRDefault="007676CF" w:rsidP="00754C04">
            <w:pPr>
              <w:pStyle w:val="NoSpacing"/>
              <w:jc w:val="both"/>
              <w:rPr>
                <w:rFonts w:asciiTheme="minorHAnsi" w:hAnsiTheme="minorHAnsi" w:cstheme="minorHAnsi"/>
              </w:rPr>
            </w:pPr>
          </w:p>
        </w:tc>
      </w:tr>
      <w:tr w:rsidR="00894215" w:rsidRPr="0062173B" w:rsidTr="002D2034">
        <w:tc>
          <w:tcPr>
            <w:tcW w:w="959" w:type="dxa"/>
          </w:tcPr>
          <w:p w:rsidR="00894215" w:rsidRPr="0062173B" w:rsidRDefault="00894215" w:rsidP="00AE5C7A">
            <w:pPr>
              <w:pStyle w:val="NoSpacing"/>
              <w:jc w:val="both"/>
              <w:rPr>
                <w:rFonts w:asciiTheme="minorHAnsi" w:hAnsiTheme="minorHAnsi" w:cstheme="minorHAnsi"/>
              </w:rPr>
            </w:pPr>
            <w:r w:rsidRPr="0062173B">
              <w:rPr>
                <w:rFonts w:asciiTheme="minorHAnsi" w:hAnsiTheme="minorHAnsi" w:cstheme="minorHAnsi"/>
              </w:rPr>
              <w:t>14.4</w:t>
            </w:r>
            <w:r w:rsidR="00AE5C7A" w:rsidRPr="0062173B">
              <w:rPr>
                <w:rFonts w:asciiTheme="minorHAnsi" w:hAnsiTheme="minorHAnsi" w:cstheme="minorHAnsi"/>
              </w:rPr>
              <w:t>5</w:t>
            </w:r>
          </w:p>
        </w:tc>
        <w:tc>
          <w:tcPr>
            <w:tcW w:w="1276" w:type="dxa"/>
          </w:tcPr>
          <w:p w:rsidR="00894215" w:rsidRPr="0062173B" w:rsidRDefault="00894215" w:rsidP="00754C04">
            <w:pPr>
              <w:pStyle w:val="NoSpacing"/>
              <w:jc w:val="both"/>
              <w:rPr>
                <w:rFonts w:asciiTheme="minorHAnsi" w:hAnsiTheme="minorHAnsi" w:cstheme="minorHAnsi"/>
              </w:rPr>
            </w:pPr>
            <w:r w:rsidRPr="0062173B">
              <w:rPr>
                <w:rFonts w:asciiTheme="minorHAnsi" w:hAnsiTheme="minorHAnsi" w:cstheme="minorHAnsi"/>
              </w:rPr>
              <w:t>Discussion</w:t>
            </w:r>
          </w:p>
        </w:tc>
        <w:tc>
          <w:tcPr>
            <w:tcW w:w="708" w:type="dxa"/>
          </w:tcPr>
          <w:p w:rsidR="00894215" w:rsidRPr="0062173B" w:rsidRDefault="00894215" w:rsidP="00754C04">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894215" w:rsidRPr="0062173B" w:rsidRDefault="00894215" w:rsidP="00E948E0">
            <w:pPr>
              <w:pStyle w:val="NoSpacing"/>
              <w:jc w:val="both"/>
              <w:rPr>
                <w:rFonts w:asciiTheme="minorHAnsi" w:hAnsiTheme="minorHAnsi" w:cstheme="minorHAnsi"/>
              </w:rPr>
            </w:pPr>
            <w:r w:rsidRPr="0062173B">
              <w:rPr>
                <w:rFonts w:asciiTheme="minorHAnsi" w:hAnsiTheme="minorHAnsi" w:cstheme="minorHAnsi"/>
              </w:rPr>
              <w:t>Court agreed the process for appointing the Vice Chair of Court</w:t>
            </w:r>
            <w:r w:rsidR="00E948E0" w:rsidRPr="0062173B">
              <w:rPr>
                <w:rFonts w:asciiTheme="minorHAnsi" w:hAnsiTheme="minorHAnsi" w:cstheme="minorHAnsi"/>
              </w:rPr>
              <w:t>.</w:t>
            </w:r>
            <w:r w:rsidRPr="0062173B">
              <w:rPr>
                <w:rFonts w:asciiTheme="minorHAnsi" w:hAnsiTheme="minorHAnsi" w:cstheme="minorHAnsi"/>
              </w:rPr>
              <w:t xml:space="preserve"> </w:t>
            </w:r>
          </w:p>
        </w:tc>
      </w:tr>
      <w:tr w:rsidR="00FE5D67" w:rsidRPr="0062173B" w:rsidTr="002D2034">
        <w:tc>
          <w:tcPr>
            <w:tcW w:w="959" w:type="dxa"/>
          </w:tcPr>
          <w:p w:rsidR="00FE5D67" w:rsidRPr="0062173B" w:rsidRDefault="00FE5D67" w:rsidP="00754C04">
            <w:pPr>
              <w:pStyle w:val="NoSpacing"/>
              <w:jc w:val="both"/>
              <w:rPr>
                <w:rFonts w:asciiTheme="minorHAnsi" w:hAnsiTheme="minorHAnsi" w:cstheme="minorHAnsi"/>
              </w:rPr>
            </w:pPr>
          </w:p>
        </w:tc>
        <w:tc>
          <w:tcPr>
            <w:tcW w:w="1276" w:type="dxa"/>
          </w:tcPr>
          <w:p w:rsidR="00FE5D67" w:rsidRPr="0062173B" w:rsidRDefault="00FE5D67" w:rsidP="00754C04">
            <w:pPr>
              <w:pStyle w:val="NoSpacing"/>
              <w:jc w:val="both"/>
              <w:rPr>
                <w:rFonts w:asciiTheme="minorHAnsi" w:hAnsiTheme="minorHAnsi" w:cstheme="minorHAnsi"/>
              </w:rPr>
            </w:pPr>
          </w:p>
        </w:tc>
        <w:tc>
          <w:tcPr>
            <w:tcW w:w="708" w:type="dxa"/>
          </w:tcPr>
          <w:p w:rsidR="00FE5D67" w:rsidRPr="0062173B" w:rsidRDefault="00FE5D67" w:rsidP="00754C04">
            <w:pPr>
              <w:pStyle w:val="NoSpacing"/>
              <w:jc w:val="both"/>
              <w:rPr>
                <w:rFonts w:asciiTheme="minorHAnsi" w:hAnsiTheme="minorHAnsi" w:cstheme="minorHAnsi"/>
              </w:rPr>
            </w:pPr>
          </w:p>
        </w:tc>
        <w:tc>
          <w:tcPr>
            <w:tcW w:w="7655" w:type="dxa"/>
          </w:tcPr>
          <w:p w:rsidR="00FE5D67" w:rsidRPr="0062173B" w:rsidRDefault="00FE5D67" w:rsidP="00894215">
            <w:pPr>
              <w:pStyle w:val="NoSpacing"/>
              <w:jc w:val="both"/>
              <w:rPr>
                <w:rFonts w:asciiTheme="minorHAnsi" w:hAnsiTheme="minorHAnsi" w:cstheme="minorHAnsi"/>
              </w:rPr>
            </w:pPr>
          </w:p>
        </w:tc>
      </w:tr>
      <w:tr w:rsidR="007676CF" w:rsidRPr="0062173B" w:rsidTr="002D2034">
        <w:tc>
          <w:tcPr>
            <w:tcW w:w="959" w:type="dxa"/>
          </w:tcPr>
          <w:p w:rsidR="007676CF" w:rsidRPr="0062173B" w:rsidRDefault="007676CF" w:rsidP="0029399F">
            <w:pPr>
              <w:pStyle w:val="NoSpacing"/>
              <w:jc w:val="both"/>
              <w:rPr>
                <w:rFonts w:asciiTheme="minorHAnsi" w:hAnsiTheme="minorHAnsi" w:cstheme="minorHAnsi"/>
              </w:rPr>
            </w:pPr>
          </w:p>
        </w:tc>
        <w:tc>
          <w:tcPr>
            <w:tcW w:w="1276" w:type="dxa"/>
          </w:tcPr>
          <w:p w:rsidR="007676CF" w:rsidRPr="0062173B" w:rsidRDefault="007676CF" w:rsidP="00754C04">
            <w:pPr>
              <w:pStyle w:val="NoSpacing"/>
              <w:jc w:val="both"/>
              <w:rPr>
                <w:rFonts w:asciiTheme="minorHAnsi" w:hAnsiTheme="minorHAnsi" w:cstheme="minorHAnsi"/>
              </w:rPr>
            </w:pPr>
          </w:p>
        </w:tc>
        <w:tc>
          <w:tcPr>
            <w:tcW w:w="708" w:type="dxa"/>
          </w:tcPr>
          <w:p w:rsidR="007676CF" w:rsidRPr="0062173B" w:rsidRDefault="00894215" w:rsidP="00754C04">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7676CF" w:rsidRPr="0062173B" w:rsidRDefault="00894215" w:rsidP="00C439C4">
            <w:pPr>
              <w:pStyle w:val="NoSpacing"/>
              <w:jc w:val="both"/>
              <w:rPr>
                <w:rFonts w:asciiTheme="minorHAnsi" w:hAnsiTheme="minorHAnsi" w:cstheme="minorHAnsi"/>
              </w:rPr>
            </w:pPr>
            <w:r w:rsidRPr="0062173B">
              <w:rPr>
                <w:rFonts w:asciiTheme="minorHAnsi" w:hAnsiTheme="minorHAnsi"/>
              </w:rPr>
              <w:t>Following the publication of the Scottish Code of Good HE Governance, a review of the University’s governance arrangements had been undertaken. There were some areas where the University was not wholly compliant with the main principles in the Code due largely to the terms of the University’s Statutory Instrument (SI).   Accordingly, t</w:t>
            </w:r>
            <w:r w:rsidRPr="0062173B">
              <w:rPr>
                <w:rFonts w:asciiTheme="minorHAnsi" w:hAnsiTheme="minorHAnsi" w:cstheme="minorHAnsi"/>
              </w:rPr>
              <w:t xml:space="preserve">he SI had been reviewed and a number of proposed changes had been identified to enable compliance with the main principles in the Code. Once agreed by Court, the </w:t>
            </w:r>
            <w:r w:rsidR="000100C7" w:rsidRPr="0062173B">
              <w:rPr>
                <w:rFonts w:asciiTheme="minorHAnsi" w:hAnsiTheme="minorHAnsi" w:cstheme="minorHAnsi"/>
              </w:rPr>
              <w:t xml:space="preserve">University lawyers would be asked to review the wording of the </w:t>
            </w:r>
            <w:r w:rsidRPr="0062173B">
              <w:rPr>
                <w:rFonts w:asciiTheme="minorHAnsi" w:hAnsiTheme="minorHAnsi" w:cstheme="minorHAnsi"/>
              </w:rPr>
              <w:t xml:space="preserve">proposed changes </w:t>
            </w:r>
            <w:r w:rsidR="000100C7" w:rsidRPr="0062173B">
              <w:rPr>
                <w:rFonts w:asciiTheme="minorHAnsi" w:hAnsiTheme="minorHAnsi" w:cstheme="minorHAnsi"/>
              </w:rPr>
              <w:t>before being</w:t>
            </w:r>
            <w:r w:rsidRPr="0062173B">
              <w:rPr>
                <w:rFonts w:asciiTheme="minorHAnsi" w:hAnsiTheme="minorHAnsi" w:cstheme="minorHAnsi"/>
              </w:rPr>
              <w:t xml:space="preserve"> submitted to the Privy Council for approval.   </w:t>
            </w:r>
            <w:r w:rsidR="0061300E" w:rsidRPr="0062173B">
              <w:rPr>
                <w:rFonts w:asciiTheme="minorHAnsi" w:hAnsiTheme="minorHAnsi" w:cstheme="minorHAnsi"/>
              </w:rPr>
              <w:t>Court considered each of the proposed changes</w:t>
            </w:r>
            <w:r w:rsidR="000100C7" w:rsidRPr="0062173B">
              <w:rPr>
                <w:rFonts w:asciiTheme="minorHAnsi" w:hAnsiTheme="minorHAnsi" w:cstheme="minorHAnsi"/>
              </w:rPr>
              <w:t>.</w:t>
            </w:r>
          </w:p>
        </w:tc>
      </w:tr>
      <w:tr w:rsidR="00E948E0" w:rsidRPr="0062173B" w:rsidTr="002D2034">
        <w:tc>
          <w:tcPr>
            <w:tcW w:w="959" w:type="dxa"/>
          </w:tcPr>
          <w:p w:rsidR="00E948E0" w:rsidRPr="0062173B" w:rsidRDefault="00E948E0" w:rsidP="0029399F">
            <w:pPr>
              <w:pStyle w:val="NoSpacing"/>
              <w:jc w:val="both"/>
              <w:rPr>
                <w:rFonts w:asciiTheme="minorHAnsi" w:hAnsiTheme="minorHAnsi" w:cstheme="minorHAnsi"/>
              </w:rPr>
            </w:pPr>
          </w:p>
        </w:tc>
        <w:tc>
          <w:tcPr>
            <w:tcW w:w="1276" w:type="dxa"/>
          </w:tcPr>
          <w:p w:rsidR="00E948E0" w:rsidRPr="0062173B" w:rsidRDefault="00E948E0" w:rsidP="00754C04">
            <w:pPr>
              <w:pStyle w:val="NoSpacing"/>
              <w:jc w:val="both"/>
              <w:rPr>
                <w:rFonts w:asciiTheme="minorHAnsi" w:hAnsiTheme="minorHAnsi" w:cstheme="minorHAnsi"/>
              </w:rPr>
            </w:pPr>
          </w:p>
        </w:tc>
        <w:tc>
          <w:tcPr>
            <w:tcW w:w="708" w:type="dxa"/>
          </w:tcPr>
          <w:p w:rsidR="00E948E0" w:rsidRPr="0062173B" w:rsidRDefault="00E948E0" w:rsidP="00754C04">
            <w:pPr>
              <w:pStyle w:val="NoSpacing"/>
              <w:jc w:val="both"/>
              <w:rPr>
                <w:rFonts w:asciiTheme="minorHAnsi" w:hAnsiTheme="minorHAnsi" w:cstheme="minorHAnsi"/>
              </w:rPr>
            </w:pPr>
          </w:p>
        </w:tc>
        <w:tc>
          <w:tcPr>
            <w:tcW w:w="7655" w:type="dxa"/>
          </w:tcPr>
          <w:p w:rsidR="00E948E0" w:rsidRPr="0062173B" w:rsidRDefault="00E948E0" w:rsidP="000100C7">
            <w:pPr>
              <w:pStyle w:val="NoSpacing"/>
              <w:jc w:val="both"/>
              <w:rPr>
                <w:rFonts w:asciiTheme="minorHAnsi" w:hAnsiTheme="minorHAnsi"/>
              </w:rPr>
            </w:pPr>
          </w:p>
        </w:tc>
      </w:tr>
      <w:tr w:rsidR="000100C7" w:rsidRPr="0062173B" w:rsidTr="002D2034">
        <w:tc>
          <w:tcPr>
            <w:tcW w:w="959" w:type="dxa"/>
          </w:tcPr>
          <w:p w:rsidR="000100C7" w:rsidRPr="0062173B" w:rsidRDefault="000100C7" w:rsidP="0029399F">
            <w:pPr>
              <w:pStyle w:val="NoSpacing"/>
              <w:jc w:val="both"/>
              <w:rPr>
                <w:rFonts w:asciiTheme="minorHAnsi" w:hAnsiTheme="minorHAnsi" w:cstheme="minorHAnsi"/>
                <w:i/>
              </w:rPr>
            </w:pPr>
          </w:p>
        </w:tc>
        <w:tc>
          <w:tcPr>
            <w:tcW w:w="1276" w:type="dxa"/>
          </w:tcPr>
          <w:p w:rsidR="000100C7" w:rsidRPr="0062173B" w:rsidRDefault="000100C7" w:rsidP="00754C04">
            <w:pPr>
              <w:pStyle w:val="NoSpacing"/>
              <w:jc w:val="both"/>
              <w:rPr>
                <w:rFonts w:asciiTheme="minorHAnsi" w:hAnsiTheme="minorHAnsi" w:cstheme="minorHAnsi"/>
                <w:i/>
              </w:rPr>
            </w:pPr>
          </w:p>
        </w:tc>
        <w:tc>
          <w:tcPr>
            <w:tcW w:w="708" w:type="dxa"/>
          </w:tcPr>
          <w:p w:rsidR="000100C7" w:rsidRPr="0062173B" w:rsidRDefault="00F5729C" w:rsidP="00754C04">
            <w:pPr>
              <w:pStyle w:val="NoSpacing"/>
              <w:jc w:val="both"/>
              <w:rPr>
                <w:rFonts w:asciiTheme="minorHAnsi" w:hAnsiTheme="minorHAnsi" w:cstheme="minorHAnsi"/>
                <w:i/>
              </w:rPr>
            </w:pPr>
            <w:r w:rsidRPr="0062173B">
              <w:rPr>
                <w:rFonts w:asciiTheme="minorHAnsi" w:hAnsiTheme="minorHAnsi" w:cstheme="minorHAnsi"/>
                <w:i/>
              </w:rPr>
              <w:t>a.</w:t>
            </w:r>
          </w:p>
        </w:tc>
        <w:tc>
          <w:tcPr>
            <w:tcW w:w="7655" w:type="dxa"/>
          </w:tcPr>
          <w:p w:rsidR="000100C7" w:rsidRPr="0062173B" w:rsidRDefault="000100C7" w:rsidP="000100C7">
            <w:pPr>
              <w:pStyle w:val="NoSpacing"/>
              <w:jc w:val="both"/>
              <w:rPr>
                <w:rFonts w:asciiTheme="minorHAnsi" w:hAnsiTheme="minorHAnsi"/>
                <w:i/>
              </w:rPr>
            </w:pPr>
            <w:r w:rsidRPr="0062173B">
              <w:rPr>
                <w:rFonts w:asciiTheme="minorHAnsi" w:hAnsiTheme="minorHAnsi"/>
                <w:i/>
              </w:rPr>
              <w:t>Membership of the University Court</w:t>
            </w:r>
          </w:p>
        </w:tc>
      </w:tr>
      <w:tr w:rsidR="0062173B" w:rsidRPr="0062173B" w:rsidTr="002D2034">
        <w:tc>
          <w:tcPr>
            <w:tcW w:w="959" w:type="dxa"/>
          </w:tcPr>
          <w:p w:rsidR="0062173B" w:rsidRPr="0062173B" w:rsidRDefault="0062173B" w:rsidP="0029399F">
            <w:pPr>
              <w:pStyle w:val="NoSpacing"/>
              <w:jc w:val="both"/>
              <w:rPr>
                <w:rFonts w:asciiTheme="minorHAnsi" w:hAnsiTheme="minorHAnsi" w:cstheme="minorHAnsi"/>
                <w:i/>
              </w:rPr>
            </w:pPr>
          </w:p>
        </w:tc>
        <w:tc>
          <w:tcPr>
            <w:tcW w:w="1276" w:type="dxa"/>
          </w:tcPr>
          <w:p w:rsidR="0062173B" w:rsidRPr="0062173B" w:rsidRDefault="0062173B" w:rsidP="00754C04">
            <w:pPr>
              <w:pStyle w:val="NoSpacing"/>
              <w:jc w:val="both"/>
              <w:rPr>
                <w:rFonts w:asciiTheme="minorHAnsi" w:hAnsiTheme="minorHAnsi" w:cstheme="minorHAnsi"/>
                <w:i/>
              </w:rPr>
            </w:pPr>
          </w:p>
        </w:tc>
        <w:tc>
          <w:tcPr>
            <w:tcW w:w="708" w:type="dxa"/>
          </w:tcPr>
          <w:p w:rsidR="0062173B" w:rsidRPr="0062173B" w:rsidRDefault="0062173B" w:rsidP="00754C04">
            <w:pPr>
              <w:pStyle w:val="NoSpacing"/>
              <w:jc w:val="both"/>
              <w:rPr>
                <w:rFonts w:asciiTheme="minorHAnsi" w:hAnsiTheme="minorHAnsi" w:cstheme="minorHAnsi"/>
                <w:i/>
              </w:rPr>
            </w:pPr>
          </w:p>
        </w:tc>
        <w:tc>
          <w:tcPr>
            <w:tcW w:w="7655" w:type="dxa"/>
          </w:tcPr>
          <w:p w:rsidR="0062173B" w:rsidRPr="0062173B" w:rsidRDefault="0062173B" w:rsidP="000100C7">
            <w:pPr>
              <w:pStyle w:val="NoSpacing"/>
              <w:jc w:val="both"/>
              <w:rPr>
                <w:rFonts w:asciiTheme="minorHAnsi" w:hAnsiTheme="minorHAnsi"/>
                <w:i/>
              </w:rPr>
            </w:pPr>
          </w:p>
        </w:tc>
      </w:tr>
      <w:tr w:rsidR="00894215" w:rsidRPr="0062173B" w:rsidTr="002D2034">
        <w:tc>
          <w:tcPr>
            <w:tcW w:w="959" w:type="dxa"/>
          </w:tcPr>
          <w:p w:rsidR="00894215" w:rsidRPr="0062173B" w:rsidRDefault="00894215" w:rsidP="0029399F">
            <w:pPr>
              <w:pStyle w:val="NoSpacing"/>
              <w:jc w:val="both"/>
              <w:rPr>
                <w:rFonts w:asciiTheme="minorHAnsi" w:hAnsiTheme="minorHAnsi" w:cstheme="minorHAnsi"/>
              </w:rPr>
            </w:pPr>
          </w:p>
        </w:tc>
        <w:tc>
          <w:tcPr>
            <w:tcW w:w="1276" w:type="dxa"/>
          </w:tcPr>
          <w:p w:rsidR="00894215" w:rsidRPr="0062173B" w:rsidRDefault="00894215" w:rsidP="00754C04">
            <w:pPr>
              <w:pStyle w:val="NoSpacing"/>
              <w:jc w:val="both"/>
              <w:rPr>
                <w:rFonts w:asciiTheme="minorHAnsi" w:hAnsiTheme="minorHAnsi" w:cstheme="minorHAnsi"/>
              </w:rPr>
            </w:pPr>
          </w:p>
        </w:tc>
        <w:tc>
          <w:tcPr>
            <w:tcW w:w="708" w:type="dxa"/>
          </w:tcPr>
          <w:p w:rsidR="00894215" w:rsidRPr="0062173B" w:rsidRDefault="00894215" w:rsidP="00754C04">
            <w:pPr>
              <w:pStyle w:val="NoSpacing"/>
              <w:jc w:val="both"/>
              <w:rPr>
                <w:rFonts w:asciiTheme="minorHAnsi" w:hAnsiTheme="minorHAnsi" w:cstheme="minorHAnsi"/>
              </w:rPr>
            </w:pPr>
          </w:p>
        </w:tc>
        <w:tc>
          <w:tcPr>
            <w:tcW w:w="7655" w:type="dxa"/>
          </w:tcPr>
          <w:p w:rsidR="00894215" w:rsidRPr="0062173B" w:rsidRDefault="0023620D" w:rsidP="00E948E0">
            <w:pPr>
              <w:pStyle w:val="NoSpacing"/>
              <w:numPr>
                <w:ilvl w:val="0"/>
                <w:numId w:val="49"/>
              </w:numPr>
              <w:jc w:val="both"/>
              <w:rPr>
                <w:rFonts w:asciiTheme="minorHAnsi" w:hAnsiTheme="minorHAnsi"/>
              </w:rPr>
            </w:pPr>
            <w:r w:rsidRPr="0062173B">
              <w:rPr>
                <w:rFonts w:asciiTheme="minorHAnsi" w:hAnsiTheme="minorHAnsi"/>
              </w:rPr>
              <w:t xml:space="preserve">Court agreed that the definition of the membership of Court should be broadened and should include explicit reference to the skills matrix. The proposed wording to be included in the SI would be submitted to Court </w:t>
            </w:r>
            <w:r w:rsidR="000100C7" w:rsidRPr="0062173B">
              <w:rPr>
                <w:rFonts w:asciiTheme="minorHAnsi" w:hAnsiTheme="minorHAnsi"/>
              </w:rPr>
              <w:t xml:space="preserve">for </w:t>
            </w:r>
            <w:r w:rsidR="00E948E0" w:rsidRPr="0062173B">
              <w:rPr>
                <w:rFonts w:asciiTheme="minorHAnsi" w:hAnsiTheme="minorHAnsi"/>
              </w:rPr>
              <w:t xml:space="preserve">approval. </w:t>
            </w:r>
          </w:p>
        </w:tc>
      </w:tr>
      <w:tr w:rsidR="00894215" w:rsidRPr="0062173B" w:rsidTr="002D2034">
        <w:tc>
          <w:tcPr>
            <w:tcW w:w="959" w:type="dxa"/>
          </w:tcPr>
          <w:p w:rsidR="00894215" w:rsidRPr="0062173B" w:rsidRDefault="00894215" w:rsidP="0029399F">
            <w:pPr>
              <w:pStyle w:val="NoSpacing"/>
              <w:jc w:val="both"/>
              <w:rPr>
                <w:rFonts w:asciiTheme="minorHAnsi" w:hAnsiTheme="minorHAnsi" w:cstheme="minorHAnsi"/>
              </w:rPr>
            </w:pPr>
          </w:p>
        </w:tc>
        <w:tc>
          <w:tcPr>
            <w:tcW w:w="1276" w:type="dxa"/>
          </w:tcPr>
          <w:p w:rsidR="00894215" w:rsidRPr="0062173B" w:rsidRDefault="00894215" w:rsidP="00754C04">
            <w:pPr>
              <w:pStyle w:val="NoSpacing"/>
              <w:jc w:val="both"/>
              <w:rPr>
                <w:rFonts w:asciiTheme="minorHAnsi" w:hAnsiTheme="minorHAnsi" w:cstheme="minorHAnsi"/>
              </w:rPr>
            </w:pPr>
          </w:p>
        </w:tc>
        <w:tc>
          <w:tcPr>
            <w:tcW w:w="708" w:type="dxa"/>
          </w:tcPr>
          <w:p w:rsidR="00894215" w:rsidRPr="0062173B" w:rsidRDefault="00894215" w:rsidP="00754C04">
            <w:pPr>
              <w:pStyle w:val="NoSpacing"/>
              <w:jc w:val="both"/>
              <w:rPr>
                <w:rFonts w:asciiTheme="minorHAnsi" w:hAnsiTheme="minorHAnsi" w:cstheme="minorHAnsi"/>
              </w:rPr>
            </w:pPr>
          </w:p>
        </w:tc>
        <w:tc>
          <w:tcPr>
            <w:tcW w:w="7655" w:type="dxa"/>
          </w:tcPr>
          <w:p w:rsidR="00894215" w:rsidRPr="0062173B" w:rsidRDefault="000100C7" w:rsidP="00E948E0">
            <w:pPr>
              <w:pStyle w:val="NoSpacing"/>
              <w:numPr>
                <w:ilvl w:val="0"/>
                <w:numId w:val="49"/>
              </w:numPr>
              <w:jc w:val="both"/>
              <w:rPr>
                <w:rFonts w:asciiTheme="minorHAnsi" w:hAnsiTheme="minorHAnsi"/>
              </w:rPr>
            </w:pPr>
            <w:r w:rsidRPr="0062173B">
              <w:rPr>
                <w:rFonts w:asciiTheme="minorHAnsi" w:hAnsiTheme="minorHAnsi"/>
              </w:rPr>
              <w:t>A second student governor should be included in the membership of Court.  The selection process would be submitted to the Court meeting on 29</w:t>
            </w:r>
            <w:r w:rsidRPr="0062173B">
              <w:rPr>
                <w:rFonts w:asciiTheme="minorHAnsi" w:hAnsiTheme="minorHAnsi"/>
                <w:vertAlign w:val="superscript"/>
              </w:rPr>
              <w:t>th</w:t>
            </w:r>
            <w:r w:rsidRPr="0062173B">
              <w:rPr>
                <w:rFonts w:asciiTheme="minorHAnsi" w:hAnsiTheme="minorHAnsi"/>
              </w:rPr>
              <w:t xml:space="preserve"> January 2015. </w:t>
            </w:r>
          </w:p>
        </w:tc>
      </w:tr>
      <w:tr w:rsidR="00C439C4" w:rsidRPr="0062173B" w:rsidTr="002D2034">
        <w:tc>
          <w:tcPr>
            <w:tcW w:w="959" w:type="dxa"/>
          </w:tcPr>
          <w:p w:rsidR="00C439C4" w:rsidRPr="0062173B" w:rsidRDefault="00C439C4" w:rsidP="0029399F">
            <w:pPr>
              <w:pStyle w:val="NoSpacing"/>
              <w:jc w:val="both"/>
              <w:rPr>
                <w:rFonts w:asciiTheme="minorHAnsi" w:hAnsiTheme="minorHAnsi" w:cstheme="minorHAnsi"/>
              </w:rPr>
            </w:pPr>
          </w:p>
        </w:tc>
        <w:tc>
          <w:tcPr>
            <w:tcW w:w="1276" w:type="dxa"/>
          </w:tcPr>
          <w:p w:rsidR="00C439C4" w:rsidRPr="0062173B" w:rsidRDefault="00C439C4" w:rsidP="00754C04">
            <w:pPr>
              <w:pStyle w:val="NoSpacing"/>
              <w:jc w:val="both"/>
              <w:rPr>
                <w:rFonts w:asciiTheme="minorHAnsi" w:hAnsiTheme="minorHAnsi" w:cstheme="minorHAnsi"/>
              </w:rPr>
            </w:pPr>
          </w:p>
        </w:tc>
        <w:tc>
          <w:tcPr>
            <w:tcW w:w="708" w:type="dxa"/>
          </w:tcPr>
          <w:p w:rsidR="00C439C4" w:rsidRPr="0062173B" w:rsidRDefault="00C439C4" w:rsidP="00754C04">
            <w:pPr>
              <w:pStyle w:val="NoSpacing"/>
              <w:jc w:val="both"/>
              <w:rPr>
                <w:rFonts w:asciiTheme="minorHAnsi" w:hAnsiTheme="minorHAnsi" w:cstheme="minorHAnsi"/>
              </w:rPr>
            </w:pPr>
          </w:p>
        </w:tc>
        <w:tc>
          <w:tcPr>
            <w:tcW w:w="7655" w:type="dxa"/>
          </w:tcPr>
          <w:p w:rsidR="00C439C4" w:rsidRPr="0062173B" w:rsidRDefault="00C439C4" w:rsidP="00C439C4">
            <w:pPr>
              <w:pStyle w:val="NoSpacing"/>
              <w:ind w:left="360"/>
              <w:jc w:val="both"/>
              <w:rPr>
                <w:rFonts w:asciiTheme="minorHAnsi" w:hAnsiTheme="minorHAnsi"/>
              </w:rPr>
            </w:pPr>
          </w:p>
        </w:tc>
      </w:tr>
      <w:tr w:rsidR="00894215" w:rsidRPr="0062173B" w:rsidTr="002D2034">
        <w:tc>
          <w:tcPr>
            <w:tcW w:w="959" w:type="dxa"/>
          </w:tcPr>
          <w:p w:rsidR="00894215" w:rsidRPr="0062173B" w:rsidRDefault="00894215" w:rsidP="0029399F">
            <w:pPr>
              <w:pStyle w:val="NoSpacing"/>
              <w:jc w:val="both"/>
              <w:rPr>
                <w:rFonts w:asciiTheme="minorHAnsi" w:hAnsiTheme="minorHAnsi" w:cstheme="minorHAnsi"/>
                <w:i/>
              </w:rPr>
            </w:pPr>
          </w:p>
        </w:tc>
        <w:tc>
          <w:tcPr>
            <w:tcW w:w="1276" w:type="dxa"/>
          </w:tcPr>
          <w:p w:rsidR="00894215" w:rsidRPr="0062173B" w:rsidRDefault="00894215" w:rsidP="00754C04">
            <w:pPr>
              <w:pStyle w:val="NoSpacing"/>
              <w:jc w:val="both"/>
              <w:rPr>
                <w:rFonts w:asciiTheme="minorHAnsi" w:hAnsiTheme="minorHAnsi" w:cstheme="minorHAnsi"/>
                <w:i/>
              </w:rPr>
            </w:pPr>
          </w:p>
        </w:tc>
        <w:tc>
          <w:tcPr>
            <w:tcW w:w="708" w:type="dxa"/>
          </w:tcPr>
          <w:p w:rsidR="00894215" w:rsidRPr="0062173B" w:rsidRDefault="000100C7" w:rsidP="00754C04">
            <w:pPr>
              <w:pStyle w:val="NoSpacing"/>
              <w:jc w:val="both"/>
              <w:rPr>
                <w:rFonts w:asciiTheme="minorHAnsi" w:hAnsiTheme="minorHAnsi" w:cstheme="minorHAnsi"/>
                <w:i/>
              </w:rPr>
            </w:pPr>
            <w:r w:rsidRPr="0062173B">
              <w:rPr>
                <w:rFonts w:asciiTheme="minorHAnsi" w:hAnsiTheme="minorHAnsi" w:cstheme="minorHAnsi"/>
                <w:i/>
              </w:rPr>
              <w:t>b.</w:t>
            </w:r>
          </w:p>
        </w:tc>
        <w:tc>
          <w:tcPr>
            <w:tcW w:w="7655" w:type="dxa"/>
          </w:tcPr>
          <w:p w:rsidR="00894215" w:rsidRPr="0062173B" w:rsidRDefault="000100C7" w:rsidP="00E12B2E">
            <w:pPr>
              <w:pStyle w:val="NoSpacing"/>
              <w:jc w:val="both"/>
              <w:rPr>
                <w:rFonts w:asciiTheme="minorHAnsi" w:hAnsiTheme="minorHAnsi"/>
                <w:i/>
              </w:rPr>
            </w:pPr>
            <w:r w:rsidRPr="0062173B">
              <w:rPr>
                <w:rFonts w:asciiTheme="minorHAnsi" w:hAnsiTheme="minorHAnsi"/>
                <w:i/>
              </w:rPr>
              <w:t xml:space="preserve">Period of </w:t>
            </w:r>
            <w:r w:rsidR="00E12B2E" w:rsidRPr="0062173B">
              <w:rPr>
                <w:rFonts w:asciiTheme="minorHAnsi" w:hAnsiTheme="minorHAnsi"/>
                <w:i/>
              </w:rPr>
              <w:t>o</w:t>
            </w:r>
            <w:r w:rsidRPr="0062173B">
              <w:rPr>
                <w:rFonts w:asciiTheme="minorHAnsi" w:hAnsiTheme="minorHAnsi"/>
                <w:i/>
              </w:rPr>
              <w:t xml:space="preserve">ffice of </w:t>
            </w:r>
            <w:r w:rsidR="00E12B2E" w:rsidRPr="0062173B">
              <w:rPr>
                <w:rFonts w:asciiTheme="minorHAnsi" w:hAnsiTheme="minorHAnsi"/>
                <w:i/>
              </w:rPr>
              <w:t>g</w:t>
            </w:r>
            <w:r w:rsidRPr="0062173B">
              <w:rPr>
                <w:rFonts w:asciiTheme="minorHAnsi" w:hAnsiTheme="minorHAnsi"/>
                <w:i/>
              </w:rPr>
              <w:t xml:space="preserve">overnors </w:t>
            </w:r>
          </w:p>
          <w:p w:rsidR="00E948E0" w:rsidRPr="0062173B" w:rsidRDefault="00E948E0" w:rsidP="00E12B2E">
            <w:pPr>
              <w:pStyle w:val="NoSpacing"/>
              <w:jc w:val="both"/>
              <w:rPr>
                <w:rFonts w:asciiTheme="minorHAnsi" w:hAnsiTheme="minorHAnsi"/>
                <w:i/>
              </w:rPr>
            </w:pPr>
          </w:p>
          <w:p w:rsidR="00E948E0" w:rsidRPr="0062173B" w:rsidRDefault="00E948E0" w:rsidP="00E12B2E">
            <w:pPr>
              <w:pStyle w:val="NoSpacing"/>
              <w:jc w:val="both"/>
              <w:rPr>
                <w:rFonts w:asciiTheme="minorHAnsi" w:hAnsiTheme="minorHAnsi"/>
              </w:rPr>
            </w:pPr>
            <w:r w:rsidRPr="0062173B">
              <w:rPr>
                <w:rFonts w:asciiTheme="minorHAnsi" w:hAnsiTheme="minorHAnsi"/>
              </w:rPr>
              <w:t>Court agreed that where a member of a governing body was elected to serve as chair or vice-chair of the governing body he/she should automatically begin a new term of membership linked to the office even if this took the individual beyond the normal 9 year maximum period but not beyond the 12 year absolute maximum period of office</w:t>
            </w:r>
          </w:p>
        </w:tc>
      </w:tr>
      <w:tr w:rsidR="00C439C4" w:rsidRPr="0062173B" w:rsidTr="002D2034">
        <w:tc>
          <w:tcPr>
            <w:tcW w:w="959" w:type="dxa"/>
          </w:tcPr>
          <w:p w:rsidR="00C439C4" w:rsidRPr="0062173B" w:rsidRDefault="00C439C4" w:rsidP="0029399F">
            <w:pPr>
              <w:pStyle w:val="NoSpacing"/>
              <w:jc w:val="both"/>
              <w:rPr>
                <w:rFonts w:asciiTheme="minorHAnsi" w:hAnsiTheme="minorHAnsi" w:cstheme="minorHAnsi"/>
                <w:i/>
              </w:rPr>
            </w:pPr>
          </w:p>
        </w:tc>
        <w:tc>
          <w:tcPr>
            <w:tcW w:w="1276" w:type="dxa"/>
          </w:tcPr>
          <w:p w:rsidR="00C439C4" w:rsidRPr="0062173B" w:rsidRDefault="00C439C4" w:rsidP="00754C04">
            <w:pPr>
              <w:pStyle w:val="NoSpacing"/>
              <w:jc w:val="both"/>
              <w:rPr>
                <w:rFonts w:asciiTheme="minorHAnsi" w:hAnsiTheme="minorHAnsi" w:cstheme="minorHAnsi"/>
                <w:i/>
              </w:rPr>
            </w:pPr>
          </w:p>
        </w:tc>
        <w:tc>
          <w:tcPr>
            <w:tcW w:w="708" w:type="dxa"/>
          </w:tcPr>
          <w:p w:rsidR="00C439C4" w:rsidRPr="0062173B" w:rsidRDefault="00C439C4" w:rsidP="00754C04">
            <w:pPr>
              <w:pStyle w:val="NoSpacing"/>
              <w:jc w:val="both"/>
              <w:rPr>
                <w:rFonts w:asciiTheme="minorHAnsi" w:hAnsiTheme="minorHAnsi" w:cstheme="minorHAnsi"/>
                <w:i/>
              </w:rPr>
            </w:pPr>
          </w:p>
        </w:tc>
        <w:tc>
          <w:tcPr>
            <w:tcW w:w="7655" w:type="dxa"/>
          </w:tcPr>
          <w:p w:rsidR="00C439C4" w:rsidRPr="0062173B" w:rsidRDefault="00C439C4" w:rsidP="00E12B2E">
            <w:pPr>
              <w:pStyle w:val="NoSpacing"/>
              <w:jc w:val="both"/>
              <w:rPr>
                <w:rFonts w:asciiTheme="minorHAnsi" w:hAnsiTheme="minorHAnsi"/>
                <w:i/>
              </w:rPr>
            </w:pPr>
          </w:p>
        </w:tc>
      </w:tr>
      <w:tr w:rsidR="00365A46" w:rsidRPr="0062173B" w:rsidTr="002D2034">
        <w:tc>
          <w:tcPr>
            <w:tcW w:w="959" w:type="dxa"/>
          </w:tcPr>
          <w:p w:rsidR="00365A46" w:rsidRPr="0062173B" w:rsidRDefault="00365A46" w:rsidP="0029399F">
            <w:pPr>
              <w:pStyle w:val="NoSpacing"/>
              <w:jc w:val="both"/>
              <w:rPr>
                <w:rFonts w:asciiTheme="minorHAnsi" w:hAnsiTheme="minorHAnsi" w:cstheme="minorHAnsi"/>
                <w:i/>
              </w:rPr>
            </w:pPr>
          </w:p>
        </w:tc>
        <w:tc>
          <w:tcPr>
            <w:tcW w:w="1276" w:type="dxa"/>
          </w:tcPr>
          <w:p w:rsidR="00365A46" w:rsidRPr="0062173B" w:rsidRDefault="00365A46" w:rsidP="00754C04">
            <w:pPr>
              <w:pStyle w:val="NoSpacing"/>
              <w:jc w:val="both"/>
              <w:rPr>
                <w:rFonts w:asciiTheme="minorHAnsi" w:hAnsiTheme="minorHAnsi" w:cstheme="minorHAnsi"/>
                <w:i/>
              </w:rPr>
            </w:pPr>
          </w:p>
        </w:tc>
        <w:tc>
          <w:tcPr>
            <w:tcW w:w="708" w:type="dxa"/>
          </w:tcPr>
          <w:p w:rsidR="00365A46" w:rsidRPr="0062173B" w:rsidRDefault="00365A46" w:rsidP="00754C04">
            <w:pPr>
              <w:pStyle w:val="NoSpacing"/>
              <w:jc w:val="both"/>
              <w:rPr>
                <w:rFonts w:asciiTheme="minorHAnsi" w:hAnsiTheme="minorHAnsi" w:cstheme="minorHAnsi"/>
                <w:i/>
              </w:rPr>
            </w:pPr>
            <w:r w:rsidRPr="0062173B">
              <w:rPr>
                <w:rFonts w:asciiTheme="minorHAnsi" w:hAnsiTheme="minorHAnsi" w:cstheme="minorHAnsi"/>
                <w:i/>
              </w:rPr>
              <w:t>c.</w:t>
            </w:r>
          </w:p>
        </w:tc>
        <w:tc>
          <w:tcPr>
            <w:tcW w:w="7655" w:type="dxa"/>
          </w:tcPr>
          <w:p w:rsidR="00365A46" w:rsidRPr="0062173B" w:rsidRDefault="005E1492" w:rsidP="00365A46">
            <w:pPr>
              <w:pStyle w:val="NoSpacing"/>
              <w:jc w:val="both"/>
              <w:rPr>
                <w:rFonts w:asciiTheme="minorHAnsi" w:hAnsiTheme="minorHAnsi"/>
                <w:i/>
              </w:rPr>
            </w:pPr>
            <w:r w:rsidRPr="0062173B">
              <w:rPr>
                <w:rFonts w:asciiTheme="minorHAnsi" w:hAnsiTheme="minorHAnsi"/>
                <w:i/>
              </w:rPr>
              <w:t>Widening the scope of expenses reimbursable to governors</w:t>
            </w:r>
          </w:p>
          <w:p w:rsidR="00E948E0" w:rsidRPr="0062173B" w:rsidRDefault="00E948E0" w:rsidP="00365A46">
            <w:pPr>
              <w:pStyle w:val="NoSpacing"/>
              <w:jc w:val="both"/>
              <w:rPr>
                <w:rFonts w:asciiTheme="minorHAnsi" w:hAnsiTheme="minorHAnsi"/>
                <w:i/>
              </w:rPr>
            </w:pPr>
          </w:p>
          <w:p w:rsidR="00E948E0" w:rsidRPr="0062173B" w:rsidRDefault="00E948E0" w:rsidP="00E948E0">
            <w:pPr>
              <w:pStyle w:val="NoSpacing"/>
              <w:jc w:val="both"/>
              <w:rPr>
                <w:rFonts w:asciiTheme="minorHAnsi" w:hAnsiTheme="minorHAnsi"/>
              </w:rPr>
            </w:pPr>
            <w:r w:rsidRPr="0062173B">
              <w:rPr>
                <w:rFonts w:asciiTheme="minorHAnsi" w:hAnsiTheme="minorHAnsi"/>
              </w:rPr>
              <w:t>Court agreed that the wording regarding reimbursement of reasonable travel and subsistence expenses should be amended to read ‘reasonable expenses incurred in undertaking the work of Court’.</w:t>
            </w:r>
          </w:p>
          <w:p w:rsidR="00E948E0" w:rsidRPr="0062173B" w:rsidRDefault="00E948E0" w:rsidP="00E948E0">
            <w:pPr>
              <w:pStyle w:val="NoSpacing"/>
              <w:jc w:val="both"/>
              <w:rPr>
                <w:rFonts w:asciiTheme="minorHAnsi" w:hAnsiTheme="minorHAnsi"/>
              </w:rPr>
            </w:pPr>
          </w:p>
          <w:p w:rsidR="00E948E0" w:rsidRPr="0062173B" w:rsidRDefault="00E948E0" w:rsidP="00BF720D">
            <w:pPr>
              <w:pStyle w:val="NoSpacing"/>
              <w:jc w:val="both"/>
              <w:rPr>
                <w:rFonts w:asciiTheme="minorHAnsi" w:hAnsiTheme="minorHAnsi"/>
              </w:rPr>
            </w:pPr>
            <w:r w:rsidRPr="0062173B">
              <w:rPr>
                <w:rFonts w:asciiTheme="minorHAnsi" w:hAnsiTheme="minorHAnsi"/>
              </w:rPr>
              <w:t xml:space="preserve">Court was advised that the University lawyers had confirmed that governors’ expenses incurred whilst carrying out their Court duties were exempt from income tax.  One governor noted that in the case of </w:t>
            </w:r>
            <w:r w:rsidR="00BF720D" w:rsidRPr="0062173B">
              <w:rPr>
                <w:rFonts w:asciiTheme="minorHAnsi" w:hAnsiTheme="minorHAnsi"/>
              </w:rPr>
              <w:t xml:space="preserve">remunerated </w:t>
            </w:r>
            <w:r w:rsidRPr="0062173B">
              <w:rPr>
                <w:rFonts w:asciiTheme="minorHAnsi" w:hAnsiTheme="minorHAnsi"/>
              </w:rPr>
              <w:t xml:space="preserve">non-executive board members’ travel expenses </w:t>
            </w:r>
            <w:r w:rsidR="00BF720D" w:rsidRPr="0062173B">
              <w:rPr>
                <w:rFonts w:asciiTheme="minorHAnsi" w:hAnsiTheme="minorHAnsi"/>
              </w:rPr>
              <w:t xml:space="preserve">to </w:t>
            </w:r>
            <w:r w:rsidRPr="0062173B">
              <w:rPr>
                <w:rFonts w:asciiTheme="minorHAnsi" w:hAnsiTheme="minorHAnsi"/>
              </w:rPr>
              <w:t>the location of the board meeting w</w:t>
            </w:r>
            <w:r w:rsidR="00BF720D" w:rsidRPr="0062173B">
              <w:rPr>
                <w:rFonts w:asciiTheme="minorHAnsi" w:hAnsiTheme="minorHAnsi"/>
              </w:rPr>
              <w:t>ere</w:t>
            </w:r>
            <w:r w:rsidRPr="0062173B">
              <w:rPr>
                <w:rFonts w:asciiTheme="minorHAnsi" w:hAnsiTheme="minorHAnsi"/>
              </w:rPr>
              <w:t xml:space="preserve"> classed as </w:t>
            </w:r>
            <w:r w:rsidR="00BF720D" w:rsidRPr="0062173B">
              <w:rPr>
                <w:rFonts w:asciiTheme="minorHAnsi" w:hAnsiTheme="minorHAnsi"/>
              </w:rPr>
              <w:t>travel to</w:t>
            </w:r>
            <w:r w:rsidRPr="0062173B">
              <w:rPr>
                <w:rFonts w:asciiTheme="minorHAnsi" w:hAnsiTheme="minorHAnsi"/>
              </w:rPr>
              <w:t xml:space="preserve"> work</w:t>
            </w:r>
            <w:r w:rsidR="00BF720D" w:rsidRPr="0062173B">
              <w:rPr>
                <w:rFonts w:asciiTheme="minorHAnsi" w:hAnsiTheme="minorHAnsi"/>
              </w:rPr>
              <w:t xml:space="preserve"> </w:t>
            </w:r>
            <w:r w:rsidRPr="0062173B">
              <w:rPr>
                <w:rFonts w:asciiTheme="minorHAnsi" w:hAnsiTheme="minorHAnsi"/>
              </w:rPr>
              <w:t xml:space="preserve">expenses </w:t>
            </w:r>
            <w:r w:rsidR="00BF720D" w:rsidRPr="0062173B">
              <w:rPr>
                <w:rFonts w:asciiTheme="minorHAnsi" w:hAnsiTheme="minorHAnsi"/>
              </w:rPr>
              <w:t>and were therefore taxable.</w:t>
            </w:r>
            <w:r w:rsidRPr="0062173B">
              <w:rPr>
                <w:rFonts w:asciiTheme="minorHAnsi" w:hAnsiTheme="minorHAnsi"/>
              </w:rPr>
              <w:t xml:space="preserve">     </w:t>
            </w:r>
          </w:p>
        </w:tc>
      </w:tr>
      <w:tr w:rsidR="00F5729C" w:rsidRPr="0062173B" w:rsidTr="002D2034">
        <w:tc>
          <w:tcPr>
            <w:tcW w:w="959" w:type="dxa"/>
          </w:tcPr>
          <w:p w:rsidR="00F5729C" w:rsidRPr="0062173B" w:rsidRDefault="00F5729C" w:rsidP="0029399F">
            <w:pPr>
              <w:pStyle w:val="NoSpacing"/>
              <w:jc w:val="both"/>
              <w:rPr>
                <w:rFonts w:asciiTheme="minorHAnsi" w:hAnsiTheme="minorHAnsi" w:cstheme="minorHAnsi"/>
                <w:i/>
              </w:rPr>
            </w:pPr>
          </w:p>
        </w:tc>
        <w:tc>
          <w:tcPr>
            <w:tcW w:w="1276" w:type="dxa"/>
          </w:tcPr>
          <w:p w:rsidR="00F5729C" w:rsidRPr="0062173B" w:rsidRDefault="00F5729C" w:rsidP="00754C04">
            <w:pPr>
              <w:pStyle w:val="NoSpacing"/>
              <w:jc w:val="both"/>
              <w:rPr>
                <w:rFonts w:asciiTheme="minorHAnsi" w:hAnsiTheme="minorHAnsi" w:cstheme="minorHAnsi"/>
                <w:i/>
              </w:rPr>
            </w:pPr>
          </w:p>
        </w:tc>
        <w:tc>
          <w:tcPr>
            <w:tcW w:w="708" w:type="dxa"/>
          </w:tcPr>
          <w:p w:rsidR="00F5729C" w:rsidRPr="0062173B" w:rsidRDefault="00F5729C" w:rsidP="00754C04">
            <w:pPr>
              <w:pStyle w:val="NoSpacing"/>
              <w:jc w:val="both"/>
              <w:rPr>
                <w:rFonts w:asciiTheme="minorHAnsi" w:hAnsiTheme="minorHAnsi" w:cstheme="minorHAnsi"/>
                <w:i/>
              </w:rPr>
            </w:pPr>
          </w:p>
        </w:tc>
        <w:tc>
          <w:tcPr>
            <w:tcW w:w="7655" w:type="dxa"/>
          </w:tcPr>
          <w:p w:rsidR="00F5729C" w:rsidRPr="0062173B" w:rsidRDefault="00F5729C" w:rsidP="00F5729C">
            <w:pPr>
              <w:pStyle w:val="NoSpacing"/>
              <w:jc w:val="both"/>
              <w:rPr>
                <w:rFonts w:asciiTheme="minorHAnsi" w:hAnsiTheme="minorHAnsi"/>
              </w:rPr>
            </w:pPr>
          </w:p>
        </w:tc>
      </w:tr>
      <w:tr w:rsidR="00F5729C" w:rsidRPr="0062173B" w:rsidTr="002D2034">
        <w:tc>
          <w:tcPr>
            <w:tcW w:w="959" w:type="dxa"/>
          </w:tcPr>
          <w:p w:rsidR="00F5729C" w:rsidRPr="0062173B" w:rsidRDefault="00F5729C" w:rsidP="0029399F">
            <w:pPr>
              <w:pStyle w:val="NoSpacing"/>
              <w:jc w:val="both"/>
              <w:rPr>
                <w:rFonts w:asciiTheme="minorHAnsi" w:hAnsiTheme="minorHAnsi" w:cstheme="minorHAnsi"/>
                <w:i/>
              </w:rPr>
            </w:pPr>
          </w:p>
        </w:tc>
        <w:tc>
          <w:tcPr>
            <w:tcW w:w="1276" w:type="dxa"/>
          </w:tcPr>
          <w:p w:rsidR="00F5729C" w:rsidRPr="0062173B" w:rsidRDefault="00F5729C" w:rsidP="00754C04">
            <w:pPr>
              <w:pStyle w:val="NoSpacing"/>
              <w:jc w:val="both"/>
              <w:rPr>
                <w:rFonts w:asciiTheme="minorHAnsi" w:hAnsiTheme="minorHAnsi" w:cstheme="minorHAnsi"/>
                <w:i/>
              </w:rPr>
            </w:pPr>
          </w:p>
        </w:tc>
        <w:tc>
          <w:tcPr>
            <w:tcW w:w="708" w:type="dxa"/>
          </w:tcPr>
          <w:p w:rsidR="00F5729C" w:rsidRPr="0062173B" w:rsidRDefault="00F5729C" w:rsidP="00754C04">
            <w:pPr>
              <w:pStyle w:val="NoSpacing"/>
              <w:jc w:val="both"/>
              <w:rPr>
                <w:rFonts w:asciiTheme="minorHAnsi" w:hAnsiTheme="minorHAnsi" w:cstheme="minorHAnsi"/>
                <w:i/>
              </w:rPr>
            </w:pPr>
            <w:r w:rsidRPr="0062173B">
              <w:rPr>
                <w:rFonts w:asciiTheme="minorHAnsi" w:hAnsiTheme="minorHAnsi" w:cstheme="minorHAnsi"/>
                <w:i/>
              </w:rPr>
              <w:t>d.</w:t>
            </w:r>
          </w:p>
        </w:tc>
        <w:tc>
          <w:tcPr>
            <w:tcW w:w="7655" w:type="dxa"/>
          </w:tcPr>
          <w:p w:rsidR="00F5729C" w:rsidRPr="0062173B" w:rsidRDefault="00E12B2E" w:rsidP="00F5729C">
            <w:pPr>
              <w:pStyle w:val="NoSpacing"/>
              <w:jc w:val="both"/>
              <w:rPr>
                <w:rFonts w:asciiTheme="minorHAnsi" w:hAnsiTheme="minorHAnsi"/>
                <w:i/>
              </w:rPr>
            </w:pPr>
            <w:r w:rsidRPr="0062173B">
              <w:rPr>
                <w:rFonts w:asciiTheme="minorHAnsi" w:hAnsiTheme="minorHAnsi"/>
                <w:i/>
              </w:rPr>
              <w:t>Acquiring power to remunerate governors</w:t>
            </w:r>
          </w:p>
          <w:p w:rsidR="00E12B2E" w:rsidRPr="0062173B" w:rsidRDefault="00E12B2E" w:rsidP="00F5729C">
            <w:pPr>
              <w:pStyle w:val="NoSpacing"/>
              <w:jc w:val="both"/>
              <w:rPr>
                <w:rFonts w:asciiTheme="minorHAnsi" w:hAnsiTheme="minorHAnsi"/>
              </w:rPr>
            </w:pPr>
          </w:p>
          <w:p w:rsidR="00674285" w:rsidRPr="0062173B" w:rsidRDefault="00906579" w:rsidP="00A64C31">
            <w:pPr>
              <w:pStyle w:val="NoSpacing"/>
              <w:jc w:val="both"/>
              <w:rPr>
                <w:rFonts w:asciiTheme="minorHAnsi" w:hAnsiTheme="minorHAnsi"/>
              </w:rPr>
            </w:pPr>
            <w:r w:rsidRPr="0062173B">
              <w:rPr>
                <w:rFonts w:asciiTheme="minorHAnsi" w:hAnsiTheme="minorHAnsi"/>
              </w:rPr>
              <w:t>Court</w:t>
            </w:r>
            <w:r w:rsidR="00A64C31" w:rsidRPr="0062173B">
              <w:rPr>
                <w:rFonts w:asciiTheme="minorHAnsi" w:hAnsiTheme="minorHAnsi"/>
              </w:rPr>
              <w:t>,</w:t>
            </w:r>
            <w:r w:rsidRPr="0062173B">
              <w:rPr>
                <w:rFonts w:asciiTheme="minorHAnsi" w:hAnsiTheme="minorHAnsi"/>
              </w:rPr>
              <w:t xml:space="preserve"> referring to </w:t>
            </w:r>
            <w:r w:rsidR="00A64C31" w:rsidRPr="0062173B">
              <w:rPr>
                <w:rFonts w:asciiTheme="minorHAnsi" w:hAnsiTheme="minorHAnsi"/>
              </w:rPr>
              <w:t>its</w:t>
            </w:r>
            <w:r w:rsidRPr="0062173B">
              <w:rPr>
                <w:rFonts w:asciiTheme="minorHAnsi" w:hAnsiTheme="minorHAnsi"/>
              </w:rPr>
              <w:t xml:space="preserve"> previous discussion at its meeting in July 2014 about the constraints imposed by </w:t>
            </w:r>
            <w:r w:rsidR="00A64C31" w:rsidRPr="0062173B">
              <w:rPr>
                <w:rFonts w:asciiTheme="minorHAnsi" w:hAnsiTheme="minorHAnsi"/>
              </w:rPr>
              <w:t>c</w:t>
            </w:r>
            <w:r w:rsidRPr="0062173B">
              <w:rPr>
                <w:rFonts w:asciiTheme="minorHAnsi" w:hAnsiTheme="minorHAnsi"/>
              </w:rPr>
              <w:t xml:space="preserve">harity legislation in relation to the remuneration of charity trustees, asked for further clarification on this point before making a decision about whether to seek the Privy Council’s approval to acquire the power to remunerate governors even if Court chose not to invoke it.     </w:t>
            </w:r>
          </w:p>
        </w:tc>
      </w:tr>
      <w:tr w:rsidR="00E12B2E" w:rsidRPr="0062173B" w:rsidTr="002D2034">
        <w:tc>
          <w:tcPr>
            <w:tcW w:w="959" w:type="dxa"/>
          </w:tcPr>
          <w:p w:rsidR="00E12B2E" w:rsidRPr="0062173B" w:rsidRDefault="00E12B2E" w:rsidP="0029399F">
            <w:pPr>
              <w:pStyle w:val="NoSpacing"/>
              <w:jc w:val="both"/>
              <w:rPr>
                <w:rFonts w:asciiTheme="minorHAnsi" w:hAnsiTheme="minorHAnsi" w:cstheme="minorHAnsi"/>
                <w:i/>
              </w:rPr>
            </w:pPr>
          </w:p>
        </w:tc>
        <w:tc>
          <w:tcPr>
            <w:tcW w:w="1276" w:type="dxa"/>
          </w:tcPr>
          <w:p w:rsidR="00E12B2E" w:rsidRPr="0062173B" w:rsidRDefault="00E12B2E" w:rsidP="00754C04">
            <w:pPr>
              <w:pStyle w:val="NoSpacing"/>
              <w:jc w:val="both"/>
              <w:rPr>
                <w:rFonts w:asciiTheme="minorHAnsi" w:hAnsiTheme="minorHAnsi" w:cstheme="minorHAnsi"/>
                <w:i/>
              </w:rPr>
            </w:pPr>
          </w:p>
        </w:tc>
        <w:tc>
          <w:tcPr>
            <w:tcW w:w="708" w:type="dxa"/>
          </w:tcPr>
          <w:p w:rsidR="00E12B2E" w:rsidRPr="0062173B" w:rsidRDefault="00E12B2E" w:rsidP="00754C04">
            <w:pPr>
              <w:pStyle w:val="NoSpacing"/>
              <w:jc w:val="both"/>
              <w:rPr>
                <w:rFonts w:asciiTheme="minorHAnsi" w:hAnsiTheme="minorHAnsi" w:cstheme="minorHAnsi"/>
                <w:i/>
              </w:rPr>
            </w:pPr>
          </w:p>
        </w:tc>
        <w:tc>
          <w:tcPr>
            <w:tcW w:w="7655" w:type="dxa"/>
          </w:tcPr>
          <w:p w:rsidR="00E12B2E" w:rsidRPr="0062173B" w:rsidRDefault="00E12B2E" w:rsidP="00F5729C">
            <w:pPr>
              <w:pStyle w:val="NoSpacing"/>
              <w:jc w:val="both"/>
              <w:rPr>
                <w:rFonts w:asciiTheme="minorHAnsi" w:hAnsiTheme="minorHAnsi"/>
                <w:i/>
              </w:rPr>
            </w:pPr>
          </w:p>
        </w:tc>
      </w:tr>
      <w:tr w:rsidR="00E12B2E" w:rsidRPr="0062173B" w:rsidTr="002D2034">
        <w:tc>
          <w:tcPr>
            <w:tcW w:w="959" w:type="dxa"/>
          </w:tcPr>
          <w:p w:rsidR="00E12B2E" w:rsidRPr="0062173B" w:rsidRDefault="00E12B2E" w:rsidP="0029399F">
            <w:pPr>
              <w:pStyle w:val="NoSpacing"/>
              <w:jc w:val="both"/>
              <w:rPr>
                <w:rFonts w:asciiTheme="minorHAnsi" w:hAnsiTheme="minorHAnsi" w:cstheme="minorHAnsi"/>
                <w:i/>
              </w:rPr>
            </w:pPr>
          </w:p>
        </w:tc>
        <w:tc>
          <w:tcPr>
            <w:tcW w:w="1276" w:type="dxa"/>
          </w:tcPr>
          <w:p w:rsidR="00E12B2E" w:rsidRPr="0062173B" w:rsidRDefault="00E12B2E" w:rsidP="00754C04">
            <w:pPr>
              <w:pStyle w:val="NoSpacing"/>
              <w:jc w:val="both"/>
              <w:rPr>
                <w:rFonts w:asciiTheme="minorHAnsi" w:hAnsiTheme="minorHAnsi" w:cstheme="minorHAnsi"/>
                <w:i/>
              </w:rPr>
            </w:pPr>
          </w:p>
        </w:tc>
        <w:tc>
          <w:tcPr>
            <w:tcW w:w="708" w:type="dxa"/>
          </w:tcPr>
          <w:p w:rsidR="00E12B2E" w:rsidRPr="0062173B" w:rsidRDefault="00E12B2E" w:rsidP="00754C04">
            <w:pPr>
              <w:pStyle w:val="NoSpacing"/>
              <w:jc w:val="both"/>
              <w:rPr>
                <w:rFonts w:asciiTheme="minorHAnsi" w:hAnsiTheme="minorHAnsi" w:cstheme="minorHAnsi"/>
                <w:i/>
              </w:rPr>
            </w:pPr>
            <w:r w:rsidRPr="0062173B">
              <w:rPr>
                <w:rFonts w:asciiTheme="minorHAnsi" w:hAnsiTheme="minorHAnsi" w:cstheme="minorHAnsi"/>
                <w:i/>
              </w:rPr>
              <w:t>e.</w:t>
            </w:r>
          </w:p>
        </w:tc>
        <w:tc>
          <w:tcPr>
            <w:tcW w:w="7655" w:type="dxa"/>
          </w:tcPr>
          <w:p w:rsidR="00E12B2E" w:rsidRPr="0062173B" w:rsidRDefault="00E12B2E" w:rsidP="00E12B2E">
            <w:pPr>
              <w:pStyle w:val="NoSpacing"/>
              <w:jc w:val="both"/>
              <w:rPr>
                <w:rFonts w:asciiTheme="minorHAnsi" w:hAnsiTheme="minorHAnsi"/>
                <w:i/>
              </w:rPr>
            </w:pPr>
            <w:r w:rsidRPr="0062173B">
              <w:rPr>
                <w:rFonts w:asciiTheme="minorHAnsi" w:hAnsiTheme="minorHAnsi"/>
                <w:i/>
              </w:rPr>
              <w:t>Appointment of Senate members</w:t>
            </w:r>
          </w:p>
          <w:p w:rsidR="00E12B2E" w:rsidRPr="0062173B" w:rsidRDefault="00E12B2E" w:rsidP="00E12B2E">
            <w:pPr>
              <w:pStyle w:val="NoSpacing"/>
              <w:jc w:val="both"/>
              <w:rPr>
                <w:rFonts w:asciiTheme="minorHAnsi" w:hAnsiTheme="minorHAnsi"/>
              </w:rPr>
            </w:pPr>
          </w:p>
          <w:p w:rsidR="00E12B2E" w:rsidRPr="0062173B" w:rsidRDefault="00674285" w:rsidP="00BF720D">
            <w:pPr>
              <w:pStyle w:val="NoSpacing"/>
              <w:jc w:val="both"/>
              <w:rPr>
                <w:rFonts w:asciiTheme="minorHAnsi" w:hAnsiTheme="minorHAnsi"/>
              </w:rPr>
            </w:pPr>
            <w:r w:rsidRPr="0062173B">
              <w:rPr>
                <w:rFonts w:asciiTheme="minorHAnsi" w:hAnsiTheme="minorHAnsi"/>
              </w:rPr>
              <w:t xml:space="preserve">Court considered a proposed amendment to Part 1 of the Schedule associated with Article 30 (1) of the SI which dealt with the appointment of Senate members. Court </w:t>
            </w:r>
            <w:r w:rsidR="00BF720D" w:rsidRPr="0062173B">
              <w:rPr>
                <w:rFonts w:asciiTheme="minorHAnsi" w:hAnsiTheme="minorHAnsi"/>
              </w:rPr>
              <w:t>found acceptable</w:t>
            </w:r>
            <w:r w:rsidRPr="0062173B">
              <w:rPr>
                <w:rFonts w:asciiTheme="minorHAnsi" w:hAnsiTheme="minorHAnsi"/>
              </w:rPr>
              <w:t xml:space="preserve"> an increase </w:t>
            </w:r>
            <w:r w:rsidR="00BF720D" w:rsidRPr="0062173B">
              <w:rPr>
                <w:rFonts w:asciiTheme="minorHAnsi" w:hAnsiTheme="minorHAnsi"/>
              </w:rPr>
              <w:t>in</w:t>
            </w:r>
            <w:r w:rsidRPr="0062173B">
              <w:rPr>
                <w:rFonts w:asciiTheme="minorHAnsi" w:hAnsiTheme="minorHAnsi"/>
              </w:rPr>
              <w:t xml:space="preserve"> the number of co-options which Senate could </w:t>
            </w:r>
            <w:r w:rsidRPr="0062173B">
              <w:rPr>
                <w:rFonts w:asciiTheme="minorHAnsi" w:hAnsiTheme="minorHAnsi"/>
              </w:rPr>
              <w:lastRenderedPageBreak/>
              <w:t>make to six from the current four and noted that the proposed change would be considered by Senate at its meeting on 12</w:t>
            </w:r>
            <w:r w:rsidRPr="0062173B">
              <w:rPr>
                <w:rFonts w:asciiTheme="minorHAnsi" w:hAnsiTheme="minorHAnsi"/>
                <w:vertAlign w:val="superscript"/>
              </w:rPr>
              <w:t>th</w:t>
            </w:r>
            <w:r w:rsidRPr="0062173B">
              <w:rPr>
                <w:rFonts w:asciiTheme="minorHAnsi" w:hAnsiTheme="minorHAnsi"/>
              </w:rPr>
              <w:t xml:space="preserve"> December 2014.</w:t>
            </w:r>
          </w:p>
        </w:tc>
      </w:tr>
      <w:tr w:rsidR="00E12B2E" w:rsidRPr="0062173B" w:rsidTr="002D2034">
        <w:tc>
          <w:tcPr>
            <w:tcW w:w="959" w:type="dxa"/>
          </w:tcPr>
          <w:p w:rsidR="00E12B2E" w:rsidRPr="0062173B" w:rsidRDefault="00E12B2E" w:rsidP="0029399F">
            <w:pPr>
              <w:pStyle w:val="NoSpacing"/>
              <w:jc w:val="both"/>
              <w:rPr>
                <w:rFonts w:asciiTheme="minorHAnsi" w:hAnsiTheme="minorHAnsi" w:cstheme="minorHAnsi"/>
                <w:i/>
              </w:rPr>
            </w:pPr>
          </w:p>
        </w:tc>
        <w:tc>
          <w:tcPr>
            <w:tcW w:w="1276" w:type="dxa"/>
          </w:tcPr>
          <w:p w:rsidR="00E12B2E" w:rsidRPr="0062173B" w:rsidRDefault="00E12B2E" w:rsidP="00754C04">
            <w:pPr>
              <w:pStyle w:val="NoSpacing"/>
              <w:jc w:val="both"/>
              <w:rPr>
                <w:rFonts w:asciiTheme="minorHAnsi" w:hAnsiTheme="minorHAnsi" w:cstheme="minorHAnsi"/>
                <w:i/>
              </w:rPr>
            </w:pPr>
          </w:p>
        </w:tc>
        <w:tc>
          <w:tcPr>
            <w:tcW w:w="708" w:type="dxa"/>
          </w:tcPr>
          <w:p w:rsidR="00E12B2E" w:rsidRPr="0062173B" w:rsidRDefault="00E12B2E" w:rsidP="00754C04">
            <w:pPr>
              <w:pStyle w:val="NoSpacing"/>
              <w:jc w:val="both"/>
              <w:rPr>
                <w:rFonts w:asciiTheme="minorHAnsi" w:hAnsiTheme="minorHAnsi" w:cstheme="minorHAnsi"/>
                <w:i/>
              </w:rPr>
            </w:pPr>
          </w:p>
        </w:tc>
        <w:tc>
          <w:tcPr>
            <w:tcW w:w="7655" w:type="dxa"/>
          </w:tcPr>
          <w:p w:rsidR="00E12B2E" w:rsidRPr="0062173B" w:rsidRDefault="00E12B2E" w:rsidP="00F5729C">
            <w:pPr>
              <w:pStyle w:val="NoSpacing"/>
              <w:jc w:val="both"/>
              <w:rPr>
                <w:rFonts w:asciiTheme="minorHAnsi" w:hAnsiTheme="minorHAnsi"/>
                <w:i/>
              </w:rPr>
            </w:pPr>
          </w:p>
        </w:tc>
      </w:tr>
      <w:tr w:rsidR="00E12B2E" w:rsidRPr="0062173B" w:rsidTr="002D2034">
        <w:tc>
          <w:tcPr>
            <w:tcW w:w="959" w:type="dxa"/>
          </w:tcPr>
          <w:p w:rsidR="00E12B2E" w:rsidRPr="0062173B" w:rsidRDefault="00E12B2E" w:rsidP="0029399F">
            <w:pPr>
              <w:pStyle w:val="NoSpacing"/>
              <w:jc w:val="both"/>
              <w:rPr>
                <w:rFonts w:asciiTheme="minorHAnsi" w:hAnsiTheme="minorHAnsi" w:cstheme="minorHAnsi"/>
                <w:i/>
              </w:rPr>
            </w:pPr>
          </w:p>
        </w:tc>
        <w:tc>
          <w:tcPr>
            <w:tcW w:w="1276" w:type="dxa"/>
          </w:tcPr>
          <w:p w:rsidR="00E12B2E" w:rsidRPr="0062173B" w:rsidRDefault="00E12B2E" w:rsidP="00754C04">
            <w:pPr>
              <w:pStyle w:val="NoSpacing"/>
              <w:jc w:val="both"/>
              <w:rPr>
                <w:rFonts w:asciiTheme="minorHAnsi" w:hAnsiTheme="minorHAnsi" w:cstheme="minorHAnsi"/>
                <w:i/>
              </w:rPr>
            </w:pPr>
          </w:p>
        </w:tc>
        <w:tc>
          <w:tcPr>
            <w:tcW w:w="708" w:type="dxa"/>
          </w:tcPr>
          <w:p w:rsidR="00E12B2E" w:rsidRPr="0062173B" w:rsidRDefault="00E12B2E" w:rsidP="00754C04">
            <w:pPr>
              <w:pStyle w:val="NoSpacing"/>
              <w:jc w:val="both"/>
              <w:rPr>
                <w:rFonts w:asciiTheme="minorHAnsi" w:hAnsiTheme="minorHAnsi" w:cstheme="minorHAnsi"/>
              </w:rPr>
            </w:pPr>
            <w:r w:rsidRPr="0062173B">
              <w:rPr>
                <w:rFonts w:asciiTheme="minorHAnsi" w:hAnsiTheme="minorHAnsi" w:cstheme="minorHAnsi"/>
              </w:rPr>
              <w:t>iii.</w:t>
            </w:r>
          </w:p>
        </w:tc>
        <w:tc>
          <w:tcPr>
            <w:tcW w:w="7655" w:type="dxa"/>
          </w:tcPr>
          <w:p w:rsidR="00E12B2E" w:rsidRPr="0062173B" w:rsidRDefault="00E12B2E" w:rsidP="00C60CEB">
            <w:pPr>
              <w:jc w:val="both"/>
              <w:rPr>
                <w:rFonts w:asciiTheme="minorHAnsi" w:hAnsiTheme="minorHAnsi" w:cstheme="minorHAnsi"/>
                <w:sz w:val="22"/>
                <w:szCs w:val="22"/>
              </w:rPr>
            </w:pPr>
            <w:r w:rsidRPr="0062173B">
              <w:rPr>
                <w:rFonts w:asciiTheme="minorHAnsi" w:hAnsiTheme="minorHAnsi" w:cstheme="minorHAnsi"/>
                <w:sz w:val="22"/>
                <w:szCs w:val="22"/>
              </w:rPr>
              <w:t xml:space="preserve">Court considered options for the publication of Court papers in light of the requirement set out in the Scottish Code of Good HE Governance.  Court agreed that papers </w:t>
            </w:r>
            <w:r w:rsidR="00C60CEB" w:rsidRPr="0062173B">
              <w:rPr>
                <w:rFonts w:asciiTheme="minorHAnsi" w:hAnsiTheme="minorHAnsi" w:cstheme="minorHAnsi"/>
                <w:sz w:val="22"/>
                <w:szCs w:val="22"/>
              </w:rPr>
              <w:t>sh</w:t>
            </w:r>
            <w:r w:rsidRPr="0062173B">
              <w:rPr>
                <w:rFonts w:asciiTheme="minorHAnsi" w:hAnsiTheme="minorHAnsi" w:cstheme="minorHAnsi"/>
                <w:sz w:val="22"/>
                <w:szCs w:val="22"/>
              </w:rPr>
              <w:t xml:space="preserve">ould be published on the Court website with the exception of those which were commercial in confidence or contained personal data.  Any requests for such papers would be considered under Freedom of Information.   </w:t>
            </w:r>
          </w:p>
          <w:p w:rsidR="003B7DCB" w:rsidRPr="0062173B" w:rsidRDefault="003B7DCB" w:rsidP="00C60CEB">
            <w:pPr>
              <w:jc w:val="both"/>
              <w:rPr>
                <w:rFonts w:asciiTheme="minorHAnsi" w:hAnsiTheme="minorHAnsi" w:cstheme="minorHAnsi"/>
                <w:sz w:val="22"/>
                <w:szCs w:val="22"/>
              </w:rPr>
            </w:pPr>
          </w:p>
          <w:p w:rsidR="003B7DCB" w:rsidRPr="0062173B" w:rsidRDefault="00B669E1" w:rsidP="00B669E1">
            <w:pPr>
              <w:jc w:val="both"/>
              <w:rPr>
                <w:rFonts w:asciiTheme="minorHAnsi" w:hAnsiTheme="minorHAnsi"/>
                <w:sz w:val="22"/>
                <w:szCs w:val="22"/>
              </w:rPr>
            </w:pPr>
            <w:r w:rsidRPr="0062173B">
              <w:rPr>
                <w:rFonts w:asciiTheme="minorHAnsi" w:hAnsiTheme="minorHAnsi"/>
                <w:sz w:val="22"/>
                <w:szCs w:val="22"/>
              </w:rPr>
              <w:t xml:space="preserve">One governor raised the issue of access to Court/committee papers on Sharepoint and asked if this was the best system stating that Blackboard was easier to use.  It was agreed that the Court secretariat would look at this bearing in mind the need for confidentiality which access through Sharepoint provided. </w:t>
            </w:r>
          </w:p>
        </w:tc>
      </w:tr>
      <w:tr w:rsidR="00E12B2E" w:rsidRPr="0062173B" w:rsidTr="002D2034">
        <w:tc>
          <w:tcPr>
            <w:tcW w:w="959" w:type="dxa"/>
          </w:tcPr>
          <w:p w:rsidR="00E12B2E" w:rsidRPr="0062173B" w:rsidRDefault="00E12B2E" w:rsidP="0029399F">
            <w:pPr>
              <w:pStyle w:val="NoSpacing"/>
              <w:jc w:val="both"/>
              <w:rPr>
                <w:rFonts w:asciiTheme="minorHAnsi" w:hAnsiTheme="minorHAnsi" w:cstheme="minorHAnsi"/>
                <w:i/>
              </w:rPr>
            </w:pPr>
          </w:p>
        </w:tc>
        <w:tc>
          <w:tcPr>
            <w:tcW w:w="1276" w:type="dxa"/>
          </w:tcPr>
          <w:p w:rsidR="00E12B2E" w:rsidRPr="0062173B" w:rsidRDefault="00E12B2E" w:rsidP="00754C04">
            <w:pPr>
              <w:pStyle w:val="NoSpacing"/>
              <w:jc w:val="both"/>
              <w:rPr>
                <w:rFonts w:asciiTheme="minorHAnsi" w:hAnsiTheme="minorHAnsi" w:cstheme="minorHAnsi"/>
                <w:i/>
              </w:rPr>
            </w:pPr>
          </w:p>
        </w:tc>
        <w:tc>
          <w:tcPr>
            <w:tcW w:w="708" w:type="dxa"/>
          </w:tcPr>
          <w:p w:rsidR="00E12B2E" w:rsidRPr="0062173B" w:rsidRDefault="00E12B2E" w:rsidP="00754C04">
            <w:pPr>
              <w:pStyle w:val="NoSpacing"/>
              <w:jc w:val="both"/>
              <w:rPr>
                <w:rFonts w:asciiTheme="minorHAnsi" w:hAnsiTheme="minorHAnsi" w:cstheme="minorHAnsi"/>
                <w:i/>
              </w:rPr>
            </w:pPr>
          </w:p>
        </w:tc>
        <w:tc>
          <w:tcPr>
            <w:tcW w:w="7655" w:type="dxa"/>
          </w:tcPr>
          <w:p w:rsidR="00E12B2E" w:rsidRPr="0062173B" w:rsidRDefault="00E12B2E" w:rsidP="00F5729C">
            <w:pPr>
              <w:pStyle w:val="NoSpacing"/>
              <w:jc w:val="both"/>
              <w:rPr>
                <w:rFonts w:asciiTheme="minorHAnsi" w:hAnsiTheme="minorHAnsi"/>
                <w:i/>
              </w:rPr>
            </w:pPr>
          </w:p>
        </w:tc>
      </w:tr>
      <w:tr w:rsidR="00E12B2E" w:rsidRPr="0062173B" w:rsidTr="002D2034">
        <w:tc>
          <w:tcPr>
            <w:tcW w:w="959" w:type="dxa"/>
          </w:tcPr>
          <w:p w:rsidR="00E12B2E" w:rsidRPr="0062173B" w:rsidRDefault="00E12B2E" w:rsidP="00AE5C7A">
            <w:pPr>
              <w:pStyle w:val="NoSpacing"/>
              <w:jc w:val="both"/>
              <w:rPr>
                <w:rFonts w:asciiTheme="minorHAnsi" w:hAnsiTheme="minorHAnsi" w:cstheme="minorHAnsi"/>
              </w:rPr>
            </w:pPr>
            <w:r w:rsidRPr="0062173B">
              <w:rPr>
                <w:rFonts w:asciiTheme="minorHAnsi" w:hAnsiTheme="minorHAnsi" w:cstheme="minorHAnsi"/>
              </w:rPr>
              <w:t>14.4</w:t>
            </w:r>
            <w:r w:rsidR="00AE5C7A" w:rsidRPr="0062173B">
              <w:rPr>
                <w:rFonts w:asciiTheme="minorHAnsi" w:hAnsiTheme="minorHAnsi" w:cstheme="minorHAnsi"/>
              </w:rPr>
              <w:t>6</w:t>
            </w:r>
          </w:p>
        </w:tc>
        <w:tc>
          <w:tcPr>
            <w:tcW w:w="1276" w:type="dxa"/>
          </w:tcPr>
          <w:p w:rsidR="00E12B2E" w:rsidRPr="0062173B" w:rsidRDefault="00906579" w:rsidP="00754C04">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E12B2E" w:rsidRPr="0062173B" w:rsidRDefault="00906579" w:rsidP="00754C04">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E12B2E" w:rsidRPr="0062173B" w:rsidRDefault="00906579" w:rsidP="00E948E0">
            <w:pPr>
              <w:pStyle w:val="NoSpacing"/>
              <w:jc w:val="both"/>
              <w:rPr>
                <w:rFonts w:asciiTheme="minorHAnsi" w:hAnsiTheme="minorHAnsi"/>
              </w:rPr>
            </w:pPr>
            <w:r w:rsidRPr="0062173B">
              <w:rPr>
                <w:rFonts w:asciiTheme="minorHAnsi" w:hAnsiTheme="minorHAnsi"/>
              </w:rPr>
              <w:t xml:space="preserve">The </w:t>
            </w:r>
            <w:r w:rsidR="00E948E0" w:rsidRPr="0062173B">
              <w:rPr>
                <w:rFonts w:asciiTheme="minorHAnsi" w:hAnsiTheme="minorHAnsi"/>
              </w:rPr>
              <w:t xml:space="preserve">Assistant Head (Governance) </w:t>
            </w:r>
            <w:r w:rsidRPr="0062173B">
              <w:rPr>
                <w:rFonts w:asciiTheme="minorHAnsi" w:hAnsiTheme="minorHAnsi"/>
              </w:rPr>
              <w:t>would clarify the points raised in relation to the taxation implications for governors</w:t>
            </w:r>
            <w:r w:rsidR="00A64C31" w:rsidRPr="0062173B">
              <w:rPr>
                <w:rFonts w:asciiTheme="minorHAnsi" w:hAnsiTheme="minorHAnsi"/>
              </w:rPr>
              <w:t>’</w:t>
            </w:r>
            <w:r w:rsidRPr="0062173B">
              <w:rPr>
                <w:rFonts w:asciiTheme="minorHAnsi" w:hAnsiTheme="minorHAnsi"/>
              </w:rPr>
              <w:t xml:space="preserve"> travel expenses and the remuneration of charity trustees</w:t>
            </w:r>
            <w:r w:rsidR="00A64C31" w:rsidRPr="0062173B">
              <w:rPr>
                <w:rFonts w:asciiTheme="minorHAnsi" w:hAnsiTheme="minorHAnsi"/>
              </w:rPr>
              <w:t xml:space="preserve"> and report to the Court meeting on 29</w:t>
            </w:r>
            <w:r w:rsidR="00A64C31" w:rsidRPr="0062173B">
              <w:rPr>
                <w:rFonts w:asciiTheme="minorHAnsi" w:hAnsiTheme="minorHAnsi"/>
                <w:vertAlign w:val="superscript"/>
              </w:rPr>
              <w:t>th</w:t>
            </w:r>
            <w:r w:rsidR="00A64C31" w:rsidRPr="0062173B">
              <w:rPr>
                <w:rFonts w:asciiTheme="minorHAnsi" w:hAnsiTheme="minorHAnsi"/>
              </w:rPr>
              <w:t xml:space="preserve"> January 2015. </w:t>
            </w:r>
            <w:r w:rsidRPr="0062173B">
              <w:rPr>
                <w:rFonts w:asciiTheme="minorHAnsi" w:hAnsiTheme="minorHAnsi"/>
              </w:rPr>
              <w:t xml:space="preserve"> </w:t>
            </w:r>
          </w:p>
        </w:tc>
      </w:tr>
      <w:tr w:rsidR="00906579" w:rsidRPr="0062173B" w:rsidTr="002D2034">
        <w:tc>
          <w:tcPr>
            <w:tcW w:w="959" w:type="dxa"/>
          </w:tcPr>
          <w:p w:rsidR="00906579" w:rsidRPr="0062173B" w:rsidRDefault="00906579" w:rsidP="00AE5C7A">
            <w:pPr>
              <w:pStyle w:val="NoSpacing"/>
              <w:jc w:val="both"/>
              <w:rPr>
                <w:rFonts w:asciiTheme="minorHAnsi" w:hAnsiTheme="minorHAnsi" w:cstheme="minorHAnsi"/>
              </w:rPr>
            </w:pPr>
          </w:p>
        </w:tc>
        <w:tc>
          <w:tcPr>
            <w:tcW w:w="1276" w:type="dxa"/>
          </w:tcPr>
          <w:p w:rsidR="00906579" w:rsidRPr="0062173B" w:rsidRDefault="00906579" w:rsidP="00754C04">
            <w:pPr>
              <w:pStyle w:val="NoSpacing"/>
              <w:jc w:val="both"/>
              <w:rPr>
                <w:rFonts w:asciiTheme="minorHAnsi" w:hAnsiTheme="minorHAnsi" w:cstheme="minorHAnsi"/>
              </w:rPr>
            </w:pPr>
          </w:p>
        </w:tc>
        <w:tc>
          <w:tcPr>
            <w:tcW w:w="708" w:type="dxa"/>
          </w:tcPr>
          <w:p w:rsidR="00906579" w:rsidRPr="0062173B" w:rsidRDefault="00906579" w:rsidP="00754C04">
            <w:pPr>
              <w:pStyle w:val="NoSpacing"/>
              <w:jc w:val="both"/>
              <w:rPr>
                <w:rFonts w:asciiTheme="minorHAnsi" w:hAnsiTheme="minorHAnsi" w:cstheme="minorHAnsi"/>
              </w:rPr>
            </w:pPr>
          </w:p>
        </w:tc>
        <w:tc>
          <w:tcPr>
            <w:tcW w:w="7655" w:type="dxa"/>
          </w:tcPr>
          <w:p w:rsidR="00906579" w:rsidRPr="0062173B" w:rsidRDefault="00906579" w:rsidP="00906579">
            <w:pPr>
              <w:pStyle w:val="NoSpacing"/>
              <w:jc w:val="both"/>
              <w:rPr>
                <w:rFonts w:asciiTheme="minorHAnsi" w:hAnsiTheme="minorHAnsi"/>
              </w:rPr>
            </w:pPr>
          </w:p>
        </w:tc>
      </w:tr>
      <w:tr w:rsidR="00906579" w:rsidRPr="0062173B" w:rsidTr="002D2034">
        <w:tc>
          <w:tcPr>
            <w:tcW w:w="959" w:type="dxa"/>
          </w:tcPr>
          <w:p w:rsidR="00906579" w:rsidRPr="0062173B" w:rsidRDefault="00906579" w:rsidP="00AE5C7A">
            <w:pPr>
              <w:pStyle w:val="NoSpacing"/>
              <w:jc w:val="both"/>
              <w:rPr>
                <w:rFonts w:asciiTheme="minorHAnsi" w:hAnsiTheme="minorHAnsi" w:cstheme="minorHAnsi"/>
              </w:rPr>
            </w:pPr>
          </w:p>
        </w:tc>
        <w:tc>
          <w:tcPr>
            <w:tcW w:w="1276" w:type="dxa"/>
          </w:tcPr>
          <w:p w:rsidR="00906579" w:rsidRPr="0062173B" w:rsidRDefault="00906579" w:rsidP="00754C04">
            <w:pPr>
              <w:pStyle w:val="NoSpacing"/>
              <w:jc w:val="both"/>
              <w:rPr>
                <w:rFonts w:asciiTheme="minorHAnsi" w:hAnsiTheme="minorHAnsi" w:cstheme="minorHAnsi"/>
              </w:rPr>
            </w:pPr>
          </w:p>
        </w:tc>
        <w:tc>
          <w:tcPr>
            <w:tcW w:w="708" w:type="dxa"/>
          </w:tcPr>
          <w:p w:rsidR="00906579" w:rsidRPr="0062173B" w:rsidRDefault="00906579" w:rsidP="00754C04">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906579" w:rsidRPr="0062173B" w:rsidRDefault="00906579" w:rsidP="00906579">
            <w:pPr>
              <w:pStyle w:val="NoSpacing"/>
              <w:jc w:val="both"/>
              <w:rPr>
                <w:rFonts w:asciiTheme="minorHAnsi" w:hAnsiTheme="minorHAnsi"/>
              </w:rPr>
            </w:pPr>
            <w:r w:rsidRPr="0062173B">
              <w:rPr>
                <w:rFonts w:asciiTheme="minorHAnsi" w:hAnsiTheme="minorHAnsi"/>
              </w:rPr>
              <w:t>The President of the Students’ Association would submit a paper on the selection process for the second student member of Court to the Court meeting on 29</w:t>
            </w:r>
            <w:r w:rsidRPr="0062173B">
              <w:rPr>
                <w:rFonts w:asciiTheme="minorHAnsi" w:hAnsiTheme="minorHAnsi"/>
                <w:vertAlign w:val="superscript"/>
              </w:rPr>
              <w:t>th</w:t>
            </w:r>
            <w:r w:rsidRPr="0062173B">
              <w:rPr>
                <w:rFonts w:asciiTheme="minorHAnsi" w:hAnsiTheme="minorHAnsi"/>
              </w:rPr>
              <w:t xml:space="preserve"> January 2015.</w:t>
            </w:r>
          </w:p>
        </w:tc>
      </w:tr>
      <w:tr w:rsidR="00B669E1" w:rsidRPr="0062173B" w:rsidTr="002D2034">
        <w:tc>
          <w:tcPr>
            <w:tcW w:w="959" w:type="dxa"/>
          </w:tcPr>
          <w:p w:rsidR="00B669E1" w:rsidRPr="0062173B" w:rsidRDefault="00B669E1" w:rsidP="00AE5C7A">
            <w:pPr>
              <w:pStyle w:val="NoSpacing"/>
              <w:jc w:val="both"/>
              <w:rPr>
                <w:rFonts w:asciiTheme="minorHAnsi" w:hAnsiTheme="minorHAnsi" w:cstheme="minorHAnsi"/>
              </w:rPr>
            </w:pPr>
          </w:p>
        </w:tc>
        <w:tc>
          <w:tcPr>
            <w:tcW w:w="1276" w:type="dxa"/>
          </w:tcPr>
          <w:p w:rsidR="00B669E1" w:rsidRPr="0062173B" w:rsidRDefault="00B669E1" w:rsidP="00754C04">
            <w:pPr>
              <w:pStyle w:val="NoSpacing"/>
              <w:jc w:val="both"/>
              <w:rPr>
                <w:rFonts w:asciiTheme="minorHAnsi" w:hAnsiTheme="minorHAnsi" w:cstheme="minorHAnsi"/>
              </w:rPr>
            </w:pPr>
          </w:p>
        </w:tc>
        <w:tc>
          <w:tcPr>
            <w:tcW w:w="708" w:type="dxa"/>
          </w:tcPr>
          <w:p w:rsidR="00B669E1" w:rsidRPr="0062173B" w:rsidRDefault="00B669E1" w:rsidP="00754C04">
            <w:pPr>
              <w:pStyle w:val="NoSpacing"/>
              <w:jc w:val="both"/>
              <w:rPr>
                <w:rFonts w:asciiTheme="minorHAnsi" w:hAnsiTheme="minorHAnsi" w:cstheme="minorHAnsi"/>
              </w:rPr>
            </w:pPr>
          </w:p>
        </w:tc>
        <w:tc>
          <w:tcPr>
            <w:tcW w:w="7655" w:type="dxa"/>
          </w:tcPr>
          <w:p w:rsidR="00B669E1" w:rsidRPr="0062173B" w:rsidRDefault="00B669E1" w:rsidP="00906579">
            <w:pPr>
              <w:pStyle w:val="NoSpacing"/>
              <w:jc w:val="both"/>
              <w:rPr>
                <w:rFonts w:asciiTheme="minorHAnsi" w:hAnsiTheme="minorHAnsi"/>
              </w:rPr>
            </w:pPr>
          </w:p>
        </w:tc>
      </w:tr>
      <w:tr w:rsidR="00B669E1" w:rsidRPr="0062173B" w:rsidTr="002D2034">
        <w:tc>
          <w:tcPr>
            <w:tcW w:w="959" w:type="dxa"/>
          </w:tcPr>
          <w:p w:rsidR="00B669E1" w:rsidRPr="0062173B" w:rsidRDefault="00B669E1" w:rsidP="00AE5C7A">
            <w:pPr>
              <w:pStyle w:val="NoSpacing"/>
              <w:jc w:val="both"/>
              <w:rPr>
                <w:rFonts w:asciiTheme="minorHAnsi" w:hAnsiTheme="minorHAnsi" w:cstheme="minorHAnsi"/>
              </w:rPr>
            </w:pPr>
          </w:p>
        </w:tc>
        <w:tc>
          <w:tcPr>
            <w:tcW w:w="1276" w:type="dxa"/>
          </w:tcPr>
          <w:p w:rsidR="00B669E1" w:rsidRPr="0062173B" w:rsidRDefault="00B669E1" w:rsidP="00754C04">
            <w:pPr>
              <w:pStyle w:val="NoSpacing"/>
              <w:jc w:val="both"/>
              <w:rPr>
                <w:rFonts w:asciiTheme="minorHAnsi" w:hAnsiTheme="minorHAnsi" w:cstheme="minorHAnsi"/>
              </w:rPr>
            </w:pPr>
          </w:p>
        </w:tc>
        <w:tc>
          <w:tcPr>
            <w:tcW w:w="708" w:type="dxa"/>
          </w:tcPr>
          <w:p w:rsidR="00B669E1" w:rsidRPr="0062173B" w:rsidRDefault="00B669E1" w:rsidP="00754C04">
            <w:pPr>
              <w:pStyle w:val="NoSpacing"/>
              <w:jc w:val="both"/>
              <w:rPr>
                <w:rFonts w:asciiTheme="minorHAnsi" w:hAnsiTheme="minorHAnsi" w:cstheme="minorHAnsi"/>
              </w:rPr>
            </w:pPr>
            <w:r w:rsidRPr="0062173B">
              <w:rPr>
                <w:rFonts w:asciiTheme="minorHAnsi" w:hAnsiTheme="minorHAnsi" w:cstheme="minorHAnsi"/>
              </w:rPr>
              <w:t>iii.</w:t>
            </w:r>
          </w:p>
        </w:tc>
        <w:tc>
          <w:tcPr>
            <w:tcW w:w="7655" w:type="dxa"/>
          </w:tcPr>
          <w:p w:rsidR="00B669E1" w:rsidRPr="0062173B" w:rsidRDefault="00B669E1" w:rsidP="00B669E1">
            <w:pPr>
              <w:pStyle w:val="NoSpacing"/>
              <w:jc w:val="both"/>
              <w:rPr>
                <w:rFonts w:asciiTheme="minorHAnsi" w:hAnsiTheme="minorHAnsi"/>
              </w:rPr>
            </w:pPr>
            <w:r w:rsidRPr="0062173B">
              <w:rPr>
                <w:rFonts w:asciiTheme="minorHAnsi" w:hAnsiTheme="minorHAnsi"/>
              </w:rPr>
              <w:t xml:space="preserve">The Court secretariat would look at the possibility of access to Court/committee papers for governors using Blackboard as opposed to Sharepoint.     </w:t>
            </w:r>
          </w:p>
        </w:tc>
      </w:tr>
    </w:tbl>
    <w:p w:rsidR="0029399F" w:rsidRPr="0062173B" w:rsidRDefault="0029399F" w:rsidP="0029399F">
      <w:pPr>
        <w:pStyle w:val="NoSpacing"/>
        <w:jc w:val="both"/>
        <w:rPr>
          <w:rFonts w:asciiTheme="minorHAnsi" w:hAnsiTheme="minorHAnsi" w:cstheme="minorHAnsi"/>
        </w:rPr>
      </w:pPr>
    </w:p>
    <w:p w:rsidR="009140C0" w:rsidRPr="0062173B" w:rsidRDefault="009140C0" w:rsidP="009140C0">
      <w:pPr>
        <w:pStyle w:val="NoSpacing"/>
        <w:jc w:val="both"/>
        <w:rPr>
          <w:rFonts w:asciiTheme="minorHAnsi" w:hAnsiTheme="minorHAnsi" w:cstheme="minorHAnsi"/>
          <w:b/>
        </w:rPr>
      </w:pPr>
      <w:r w:rsidRPr="0062173B">
        <w:rPr>
          <w:rFonts w:asciiTheme="minorHAnsi" w:hAnsiTheme="minorHAnsi" w:cstheme="minorHAnsi"/>
          <w:b/>
        </w:rPr>
        <w:t>Senate Report: 1</w:t>
      </w:r>
      <w:r w:rsidR="0074168A" w:rsidRPr="0062173B">
        <w:rPr>
          <w:rFonts w:asciiTheme="minorHAnsi" w:hAnsiTheme="minorHAnsi" w:cstheme="minorHAnsi"/>
          <w:b/>
        </w:rPr>
        <w:t>0</w:t>
      </w:r>
      <w:r w:rsidRPr="0062173B">
        <w:rPr>
          <w:rFonts w:asciiTheme="minorHAnsi" w:hAnsiTheme="minorHAnsi" w:cstheme="minorHAnsi"/>
          <w:b/>
          <w:vertAlign w:val="superscript"/>
        </w:rPr>
        <w:t>th</w:t>
      </w:r>
      <w:r w:rsidRPr="0062173B">
        <w:rPr>
          <w:rFonts w:asciiTheme="minorHAnsi" w:hAnsiTheme="minorHAnsi" w:cstheme="minorHAnsi"/>
          <w:b/>
        </w:rPr>
        <w:t xml:space="preserve"> October 201</w:t>
      </w:r>
      <w:r w:rsidR="0074168A" w:rsidRPr="0062173B">
        <w:rPr>
          <w:rFonts w:asciiTheme="minorHAnsi" w:hAnsiTheme="minorHAnsi" w:cstheme="minorHAnsi"/>
          <w:b/>
        </w:rPr>
        <w:t>4</w:t>
      </w:r>
    </w:p>
    <w:p w:rsidR="009140C0" w:rsidRPr="0062173B" w:rsidRDefault="009140C0" w:rsidP="009140C0">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9140C0" w:rsidRPr="0062173B" w:rsidTr="002D2034">
        <w:tc>
          <w:tcPr>
            <w:tcW w:w="959" w:type="dxa"/>
          </w:tcPr>
          <w:p w:rsidR="009140C0" w:rsidRPr="0062173B" w:rsidRDefault="009140C0" w:rsidP="0074168A">
            <w:pPr>
              <w:pStyle w:val="NoSpacing"/>
              <w:jc w:val="both"/>
              <w:rPr>
                <w:rFonts w:asciiTheme="minorHAnsi" w:hAnsiTheme="minorHAnsi" w:cstheme="minorHAnsi"/>
              </w:rPr>
            </w:pPr>
            <w:r w:rsidRPr="0062173B">
              <w:rPr>
                <w:rFonts w:asciiTheme="minorHAnsi" w:hAnsiTheme="minorHAnsi" w:cstheme="minorHAnsi"/>
              </w:rPr>
              <w:t>1</w:t>
            </w:r>
            <w:r w:rsidR="0074168A" w:rsidRPr="0062173B">
              <w:rPr>
                <w:rFonts w:asciiTheme="minorHAnsi" w:hAnsiTheme="minorHAnsi" w:cstheme="minorHAnsi"/>
              </w:rPr>
              <w:t>4</w:t>
            </w:r>
            <w:r w:rsidRPr="0062173B">
              <w:rPr>
                <w:rFonts w:asciiTheme="minorHAnsi" w:hAnsiTheme="minorHAnsi" w:cstheme="minorHAnsi"/>
              </w:rPr>
              <w:t>.</w:t>
            </w:r>
            <w:r w:rsidR="00E12B2E" w:rsidRPr="0062173B">
              <w:rPr>
                <w:rFonts w:asciiTheme="minorHAnsi" w:hAnsiTheme="minorHAnsi" w:cstheme="minorHAnsi"/>
              </w:rPr>
              <w:t>47</w:t>
            </w:r>
          </w:p>
        </w:tc>
        <w:tc>
          <w:tcPr>
            <w:tcW w:w="1276" w:type="dxa"/>
          </w:tcPr>
          <w:p w:rsidR="009140C0" w:rsidRPr="0062173B" w:rsidRDefault="009140C0" w:rsidP="00AB54E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9140C0" w:rsidRPr="0062173B" w:rsidRDefault="009140C0" w:rsidP="00AB54E2">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9140C0" w:rsidRPr="0062173B" w:rsidRDefault="009140C0" w:rsidP="0074168A">
            <w:pPr>
              <w:pStyle w:val="NoSpacing"/>
              <w:jc w:val="both"/>
              <w:rPr>
                <w:rFonts w:asciiTheme="minorHAnsi" w:hAnsiTheme="minorHAnsi" w:cstheme="minorHAnsi"/>
              </w:rPr>
            </w:pPr>
            <w:r w:rsidRPr="0062173B">
              <w:rPr>
                <w:rFonts w:asciiTheme="minorHAnsi" w:hAnsiTheme="minorHAnsi" w:cstheme="minorHAnsi"/>
              </w:rPr>
              <w:t xml:space="preserve"> Document UC1</w:t>
            </w:r>
            <w:r w:rsidR="0074168A" w:rsidRPr="0062173B">
              <w:rPr>
                <w:rFonts w:asciiTheme="minorHAnsi" w:hAnsiTheme="minorHAnsi" w:cstheme="minorHAnsi"/>
              </w:rPr>
              <w:t>4</w:t>
            </w:r>
            <w:r w:rsidRPr="0062173B">
              <w:rPr>
                <w:rFonts w:asciiTheme="minorHAnsi" w:hAnsiTheme="minorHAnsi" w:cstheme="minorHAnsi"/>
              </w:rPr>
              <w:t>/</w:t>
            </w:r>
            <w:r w:rsidR="0074168A" w:rsidRPr="0062173B">
              <w:rPr>
                <w:rFonts w:asciiTheme="minorHAnsi" w:hAnsiTheme="minorHAnsi" w:cstheme="minorHAnsi"/>
              </w:rPr>
              <w:t>22</w:t>
            </w:r>
            <w:r w:rsidRPr="0062173B">
              <w:rPr>
                <w:rFonts w:asciiTheme="minorHAnsi" w:hAnsiTheme="minorHAnsi" w:cstheme="minorHAnsi"/>
              </w:rPr>
              <w:t>, a report on substantive items which Senate had considered at its meeting on 1</w:t>
            </w:r>
            <w:r w:rsidR="0074168A" w:rsidRPr="0062173B">
              <w:rPr>
                <w:rFonts w:asciiTheme="minorHAnsi" w:hAnsiTheme="minorHAnsi" w:cstheme="minorHAnsi"/>
              </w:rPr>
              <w:t>0</w:t>
            </w:r>
            <w:r w:rsidRPr="0062173B">
              <w:rPr>
                <w:rFonts w:asciiTheme="minorHAnsi" w:hAnsiTheme="minorHAnsi" w:cstheme="minorHAnsi"/>
                <w:vertAlign w:val="superscript"/>
              </w:rPr>
              <w:t>th</w:t>
            </w:r>
            <w:r w:rsidRPr="0062173B">
              <w:rPr>
                <w:rFonts w:asciiTheme="minorHAnsi" w:hAnsiTheme="minorHAnsi" w:cstheme="minorHAnsi"/>
              </w:rPr>
              <w:t xml:space="preserve"> October 201</w:t>
            </w:r>
            <w:r w:rsidR="0074168A" w:rsidRPr="0062173B">
              <w:rPr>
                <w:rFonts w:asciiTheme="minorHAnsi" w:hAnsiTheme="minorHAnsi" w:cstheme="minorHAnsi"/>
              </w:rPr>
              <w:t>4</w:t>
            </w:r>
            <w:r w:rsidRPr="0062173B">
              <w:rPr>
                <w:rFonts w:asciiTheme="minorHAnsi" w:hAnsiTheme="minorHAnsi" w:cstheme="minorHAnsi"/>
              </w:rPr>
              <w:t>.</w:t>
            </w:r>
          </w:p>
        </w:tc>
      </w:tr>
    </w:tbl>
    <w:p w:rsidR="009140C0" w:rsidRPr="0062173B" w:rsidRDefault="009140C0" w:rsidP="009140C0">
      <w:pPr>
        <w:pStyle w:val="BodyText"/>
        <w:jc w:val="both"/>
        <w:rPr>
          <w:rFonts w:asciiTheme="minorHAnsi" w:hAnsiTheme="minorHAnsi" w:cstheme="minorHAnsi"/>
          <w:sz w:val="22"/>
          <w:szCs w:val="22"/>
        </w:rPr>
      </w:pPr>
    </w:p>
    <w:p w:rsidR="009140C0" w:rsidRPr="0062173B" w:rsidRDefault="00E12B2E" w:rsidP="0029399F">
      <w:pPr>
        <w:pStyle w:val="NoSpacing"/>
        <w:jc w:val="both"/>
        <w:rPr>
          <w:rFonts w:asciiTheme="minorHAnsi" w:hAnsiTheme="minorHAnsi" w:cstheme="minorHAnsi"/>
          <w:b/>
        </w:rPr>
      </w:pPr>
      <w:r w:rsidRPr="0062173B">
        <w:rPr>
          <w:rFonts w:asciiTheme="minorHAnsi" w:hAnsiTheme="minorHAnsi" w:cstheme="minorHAnsi"/>
          <w:b/>
        </w:rPr>
        <w:t>Senate Annual Report</w:t>
      </w:r>
    </w:p>
    <w:p w:rsidR="00E12B2E" w:rsidRPr="0062173B" w:rsidRDefault="00E12B2E"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E12B2E" w:rsidRPr="0062173B" w:rsidTr="002D2034">
        <w:tc>
          <w:tcPr>
            <w:tcW w:w="959" w:type="dxa"/>
          </w:tcPr>
          <w:p w:rsidR="00E12B2E" w:rsidRPr="0062173B" w:rsidRDefault="00E12B2E" w:rsidP="00E12B2E">
            <w:pPr>
              <w:pStyle w:val="NoSpacing"/>
              <w:jc w:val="both"/>
              <w:rPr>
                <w:rFonts w:asciiTheme="minorHAnsi" w:hAnsiTheme="minorHAnsi" w:cstheme="minorHAnsi"/>
              </w:rPr>
            </w:pPr>
            <w:r w:rsidRPr="0062173B">
              <w:rPr>
                <w:rFonts w:asciiTheme="minorHAnsi" w:hAnsiTheme="minorHAnsi" w:cstheme="minorHAnsi"/>
              </w:rPr>
              <w:t>14.48</w:t>
            </w:r>
          </w:p>
        </w:tc>
        <w:tc>
          <w:tcPr>
            <w:tcW w:w="1276" w:type="dxa"/>
          </w:tcPr>
          <w:p w:rsidR="00E12B2E" w:rsidRPr="0062173B" w:rsidRDefault="00E12B2E" w:rsidP="00E12B2E">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E12B2E" w:rsidRPr="0062173B" w:rsidRDefault="00772599" w:rsidP="00E12B2E">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E12B2E" w:rsidRPr="0062173B" w:rsidRDefault="00E12B2E" w:rsidP="00772599">
            <w:pPr>
              <w:pStyle w:val="NoSpacing"/>
              <w:jc w:val="both"/>
              <w:rPr>
                <w:rFonts w:asciiTheme="minorHAnsi" w:hAnsiTheme="minorHAnsi"/>
              </w:rPr>
            </w:pPr>
            <w:r w:rsidRPr="0062173B">
              <w:rPr>
                <w:rFonts w:asciiTheme="minorHAnsi" w:hAnsiTheme="minorHAnsi"/>
              </w:rPr>
              <w:t xml:space="preserve">Document UC14/23 which outlined </w:t>
            </w:r>
            <w:r w:rsidR="00772599" w:rsidRPr="0062173B">
              <w:rPr>
                <w:rFonts w:asciiTheme="minorHAnsi" w:hAnsiTheme="minorHAnsi"/>
              </w:rPr>
              <w:t>the work undertaken in 2013-2014 in relation to fulfilling its terms of reference.</w:t>
            </w:r>
          </w:p>
        </w:tc>
      </w:tr>
      <w:tr w:rsidR="00772599" w:rsidRPr="0062173B" w:rsidTr="002D2034">
        <w:tc>
          <w:tcPr>
            <w:tcW w:w="959" w:type="dxa"/>
          </w:tcPr>
          <w:p w:rsidR="00772599" w:rsidRPr="0062173B" w:rsidRDefault="00772599" w:rsidP="00E12B2E">
            <w:pPr>
              <w:pStyle w:val="NoSpacing"/>
              <w:jc w:val="both"/>
              <w:rPr>
                <w:rFonts w:asciiTheme="minorHAnsi" w:hAnsiTheme="minorHAnsi" w:cstheme="minorHAnsi"/>
              </w:rPr>
            </w:pPr>
          </w:p>
        </w:tc>
        <w:tc>
          <w:tcPr>
            <w:tcW w:w="1276" w:type="dxa"/>
          </w:tcPr>
          <w:p w:rsidR="00772599" w:rsidRPr="0062173B" w:rsidRDefault="00772599" w:rsidP="00E12B2E">
            <w:pPr>
              <w:pStyle w:val="NoSpacing"/>
              <w:jc w:val="both"/>
              <w:rPr>
                <w:rFonts w:asciiTheme="minorHAnsi" w:hAnsiTheme="minorHAnsi" w:cstheme="minorHAnsi"/>
              </w:rPr>
            </w:pPr>
          </w:p>
        </w:tc>
        <w:tc>
          <w:tcPr>
            <w:tcW w:w="708" w:type="dxa"/>
          </w:tcPr>
          <w:p w:rsidR="00772599" w:rsidRPr="0062173B" w:rsidRDefault="00772599" w:rsidP="00E12B2E">
            <w:pPr>
              <w:pStyle w:val="NoSpacing"/>
              <w:jc w:val="both"/>
              <w:rPr>
                <w:rFonts w:asciiTheme="minorHAnsi" w:hAnsiTheme="minorHAnsi" w:cstheme="minorHAnsi"/>
              </w:rPr>
            </w:pPr>
          </w:p>
        </w:tc>
        <w:tc>
          <w:tcPr>
            <w:tcW w:w="7655" w:type="dxa"/>
          </w:tcPr>
          <w:p w:rsidR="00772599" w:rsidRPr="0062173B" w:rsidRDefault="00772599" w:rsidP="00772599">
            <w:pPr>
              <w:pStyle w:val="NoSpacing"/>
              <w:jc w:val="both"/>
              <w:rPr>
                <w:rFonts w:asciiTheme="minorHAnsi" w:hAnsiTheme="minorHAnsi"/>
              </w:rPr>
            </w:pPr>
          </w:p>
        </w:tc>
      </w:tr>
      <w:tr w:rsidR="00772599" w:rsidRPr="0062173B" w:rsidTr="002D2034">
        <w:tc>
          <w:tcPr>
            <w:tcW w:w="959" w:type="dxa"/>
          </w:tcPr>
          <w:p w:rsidR="00772599" w:rsidRPr="0062173B" w:rsidRDefault="00772599" w:rsidP="00E12B2E">
            <w:pPr>
              <w:pStyle w:val="NoSpacing"/>
              <w:jc w:val="both"/>
              <w:rPr>
                <w:rFonts w:asciiTheme="minorHAnsi" w:hAnsiTheme="minorHAnsi" w:cstheme="minorHAnsi"/>
              </w:rPr>
            </w:pPr>
          </w:p>
        </w:tc>
        <w:tc>
          <w:tcPr>
            <w:tcW w:w="1276" w:type="dxa"/>
          </w:tcPr>
          <w:p w:rsidR="00772599" w:rsidRPr="0062173B" w:rsidRDefault="00772599" w:rsidP="00E12B2E">
            <w:pPr>
              <w:pStyle w:val="NoSpacing"/>
              <w:jc w:val="both"/>
              <w:rPr>
                <w:rFonts w:asciiTheme="minorHAnsi" w:hAnsiTheme="minorHAnsi" w:cstheme="minorHAnsi"/>
              </w:rPr>
            </w:pPr>
          </w:p>
        </w:tc>
        <w:tc>
          <w:tcPr>
            <w:tcW w:w="708" w:type="dxa"/>
          </w:tcPr>
          <w:p w:rsidR="00772599" w:rsidRPr="0062173B" w:rsidRDefault="00772599" w:rsidP="00E12B2E">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772599" w:rsidRPr="0062173B" w:rsidRDefault="00E948E0" w:rsidP="00BF720D">
            <w:pPr>
              <w:pStyle w:val="NoSpacing"/>
              <w:jc w:val="both"/>
              <w:rPr>
                <w:rFonts w:asciiTheme="minorHAnsi" w:hAnsiTheme="minorHAnsi"/>
              </w:rPr>
            </w:pPr>
            <w:r w:rsidRPr="0062173B">
              <w:rPr>
                <w:rFonts w:asciiTheme="minorHAnsi" w:hAnsiTheme="minorHAnsi"/>
              </w:rPr>
              <w:t>A</w:t>
            </w:r>
            <w:r w:rsidR="00772599" w:rsidRPr="0062173B">
              <w:rPr>
                <w:rFonts w:asciiTheme="minorHAnsi" w:hAnsiTheme="minorHAnsi"/>
              </w:rPr>
              <w:t xml:space="preserve"> process for reviewing the effectiveness of Senate</w:t>
            </w:r>
            <w:r w:rsidRPr="0062173B">
              <w:rPr>
                <w:rFonts w:asciiTheme="minorHAnsi" w:hAnsiTheme="minorHAnsi"/>
              </w:rPr>
              <w:t xml:space="preserve"> </w:t>
            </w:r>
            <w:r w:rsidR="00BF720D" w:rsidRPr="0062173B">
              <w:rPr>
                <w:rFonts w:asciiTheme="minorHAnsi" w:hAnsiTheme="minorHAnsi"/>
              </w:rPr>
              <w:t>would be</w:t>
            </w:r>
            <w:r w:rsidRPr="0062173B">
              <w:rPr>
                <w:rFonts w:asciiTheme="minorHAnsi" w:hAnsiTheme="minorHAnsi"/>
              </w:rPr>
              <w:t xml:space="preserve"> developed.</w:t>
            </w:r>
          </w:p>
        </w:tc>
      </w:tr>
    </w:tbl>
    <w:p w:rsidR="00E12B2E" w:rsidRPr="0062173B" w:rsidRDefault="00E12B2E" w:rsidP="0029399F">
      <w:pPr>
        <w:pStyle w:val="NoSpacing"/>
        <w:jc w:val="both"/>
        <w:rPr>
          <w:rFonts w:asciiTheme="minorHAnsi" w:hAnsiTheme="minorHAnsi" w:cstheme="minorHAnsi"/>
          <w:b/>
        </w:rPr>
      </w:pPr>
    </w:p>
    <w:p w:rsidR="00772599" w:rsidRPr="0062173B" w:rsidRDefault="00772599" w:rsidP="0029399F">
      <w:pPr>
        <w:pStyle w:val="NoSpacing"/>
        <w:jc w:val="both"/>
        <w:rPr>
          <w:rFonts w:asciiTheme="minorHAnsi" w:hAnsiTheme="minorHAnsi" w:cstheme="minorHAnsi"/>
          <w:b/>
        </w:rPr>
      </w:pPr>
      <w:r w:rsidRPr="0062173B">
        <w:rPr>
          <w:rFonts w:asciiTheme="minorHAnsi" w:hAnsiTheme="minorHAnsi" w:cstheme="minorHAnsi"/>
          <w:b/>
        </w:rPr>
        <w:t>GCU New York Update</w:t>
      </w:r>
    </w:p>
    <w:p w:rsidR="00772599" w:rsidRPr="0062173B" w:rsidRDefault="00772599" w:rsidP="0029399F">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772599" w:rsidRPr="0062173B" w:rsidTr="002D2034">
        <w:tc>
          <w:tcPr>
            <w:tcW w:w="959" w:type="dxa"/>
          </w:tcPr>
          <w:p w:rsidR="00772599" w:rsidRPr="0062173B" w:rsidRDefault="00772599" w:rsidP="00B66982">
            <w:pPr>
              <w:pStyle w:val="NoSpacing"/>
              <w:jc w:val="both"/>
              <w:rPr>
                <w:rFonts w:asciiTheme="minorHAnsi" w:hAnsiTheme="minorHAnsi" w:cstheme="minorHAnsi"/>
              </w:rPr>
            </w:pPr>
            <w:r w:rsidRPr="0062173B">
              <w:rPr>
                <w:rFonts w:asciiTheme="minorHAnsi" w:hAnsiTheme="minorHAnsi" w:cstheme="minorHAnsi"/>
              </w:rPr>
              <w:t>14.49</w:t>
            </w:r>
          </w:p>
        </w:tc>
        <w:tc>
          <w:tcPr>
            <w:tcW w:w="1276" w:type="dxa"/>
          </w:tcPr>
          <w:p w:rsidR="00772599" w:rsidRPr="0062173B" w:rsidRDefault="00772599"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772599" w:rsidRPr="0062173B" w:rsidRDefault="00020747" w:rsidP="00B66982">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772599" w:rsidRPr="0062173B" w:rsidRDefault="00772599" w:rsidP="00B66982">
            <w:pPr>
              <w:pStyle w:val="NoSpacing"/>
              <w:jc w:val="both"/>
              <w:rPr>
                <w:rFonts w:asciiTheme="minorHAnsi" w:hAnsiTheme="minorHAnsi"/>
              </w:rPr>
            </w:pPr>
            <w:r w:rsidRPr="0062173B">
              <w:rPr>
                <w:rFonts w:asciiTheme="minorHAnsi" w:hAnsiTheme="minorHAnsi"/>
              </w:rPr>
              <w:t>Document UC14/24 a progress report on the development of the GCUNY campus.</w:t>
            </w:r>
          </w:p>
        </w:tc>
      </w:tr>
      <w:tr w:rsidR="00020747" w:rsidRPr="0062173B" w:rsidTr="002D2034">
        <w:tc>
          <w:tcPr>
            <w:tcW w:w="959" w:type="dxa"/>
          </w:tcPr>
          <w:p w:rsidR="00020747" w:rsidRPr="0062173B" w:rsidRDefault="00020747" w:rsidP="00B66982">
            <w:pPr>
              <w:pStyle w:val="NoSpacing"/>
              <w:jc w:val="both"/>
              <w:rPr>
                <w:rFonts w:asciiTheme="minorHAnsi" w:hAnsiTheme="minorHAnsi" w:cstheme="minorHAnsi"/>
              </w:rPr>
            </w:pPr>
          </w:p>
        </w:tc>
        <w:tc>
          <w:tcPr>
            <w:tcW w:w="1276" w:type="dxa"/>
          </w:tcPr>
          <w:p w:rsidR="00020747" w:rsidRPr="0062173B" w:rsidRDefault="00020747" w:rsidP="00B66982">
            <w:pPr>
              <w:pStyle w:val="NoSpacing"/>
              <w:jc w:val="both"/>
              <w:rPr>
                <w:rFonts w:asciiTheme="minorHAnsi" w:hAnsiTheme="minorHAnsi" w:cstheme="minorHAnsi"/>
              </w:rPr>
            </w:pPr>
          </w:p>
        </w:tc>
        <w:tc>
          <w:tcPr>
            <w:tcW w:w="708" w:type="dxa"/>
          </w:tcPr>
          <w:p w:rsidR="00020747" w:rsidRPr="0062173B" w:rsidRDefault="00020747" w:rsidP="00B66982">
            <w:pPr>
              <w:pStyle w:val="NoSpacing"/>
              <w:jc w:val="both"/>
              <w:rPr>
                <w:rFonts w:asciiTheme="minorHAnsi" w:hAnsiTheme="minorHAnsi" w:cstheme="minorHAnsi"/>
              </w:rPr>
            </w:pPr>
          </w:p>
        </w:tc>
        <w:tc>
          <w:tcPr>
            <w:tcW w:w="7655" w:type="dxa"/>
          </w:tcPr>
          <w:p w:rsidR="00020747" w:rsidRPr="0062173B" w:rsidRDefault="00020747" w:rsidP="00B66982">
            <w:pPr>
              <w:pStyle w:val="NoSpacing"/>
              <w:jc w:val="both"/>
              <w:rPr>
                <w:rFonts w:asciiTheme="minorHAnsi" w:hAnsiTheme="minorHAnsi"/>
              </w:rPr>
            </w:pPr>
          </w:p>
        </w:tc>
      </w:tr>
      <w:tr w:rsidR="00020747" w:rsidRPr="0062173B" w:rsidTr="002D2034">
        <w:tc>
          <w:tcPr>
            <w:tcW w:w="959" w:type="dxa"/>
          </w:tcPr>
          <w:p w:rsidR="00020747" w:rsidRPr="0062173B" w:rsidRDefault="00020747" w:rsidP="00B66982">
            <w:pPr>
              <w:pStyle w:val="NoSpacing"/>
              <w:jc w:val="both"/>
              <w:rPr>
                <w:rFonts w:asciiTheme="minorHAnsi" w:hAnsiTheme="minorHAnsi" w:cstheme="minorHAnsi"/>
              </w:rPr>
            </w:pPr>
          </w:p>
        </w:tc>
        <w:tc>
          <w:tcPr>
            <w:tcW w:w="1276" w:type="dxa"/>
          </w:tcPr>
          <w:p w:rsidR="00020747" w:rsidRPr="0062173B" w:rsidRDefault="00020747" w:rsidP="00B66982">
            <w:pPr>
              <w:pStyle w:val="NoSpacing"/>
              <w:jc w:val="both"/>
              <w:rPr>
                <w:rFonts w:asciiTheme="minorHAnsi" w:hAnsiTheme="minorHAnsi" w:cstheme="minorHAnsi"/>
              </w:rPr>
            </w:pPr>
          </w:p>
        </w:tc>
        <w:tc>
          <w:tcPr>
            <w:tcW w:w="708" w:type="dxa"/>
          </w:tcPr>
          <w:p w:rsidR="00020747" w:rsidRPr="0062173B" w:rsidRDefault="00020747" w:rsidP="00B66982">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020747" w:rsidRPr="0062173B" w:rsidRDefault="00020747" w:rsidP="00A64C31">
            <w:pPr>
              <w:pStyle w:val="NoSpacing"/>
              <w:jc w:val="both"/>
              <w:rPr>
                <w:rFonts w:asciiTheme="minorHAnsi" w:hAnsiTheme="minorHAnsi"/>
              </w:rPr>
            </w:pPr>
            <w:r w:rsidRPr="0062173B">
              <w:rPr>
                <w:rFonts w:asciiTheme="minorHAnsi" w:hAnsiTheme="minorHAnsi" w:cstheme="minorHAnsi"/>
              </w:rPr>
              <w:t>The GCUNY Vice Pr</w:t>
            </w:r>
            <w:r w:rsidR="00A64C31" w:rsidRPr="0062173B">
              <w:rPr>
                <w:rFonts w:asciiTheme="minorHAnsi" w:hAnsiTheme="minorHAnsi" w:cstheme="minorHAnsi"/>
              </w:rPr>
              <w:t>esident</w:t>
            </w:r>
            <w:r w:rsidRPr="0062173B">
              <w:rPr>
                <w:rFonts w:asciiTheme="minorHAnsi" w:hAnsiTheme="minorHAnsi" w:cstheme="minorHAnsi"/>
              </w:rPr>
              <w:t xml:space="preserve"> was continuing to raise the </w:t>
            </w:r>
            <w:r w:rsidR="00A64C31" w:rsidRPr="0062173B">
              <w:rPr>
                <w:rFonts w:asciiTheme="minorHAnsi" w:hAnsiTheme="minorHAnsi" w:cstheme="minorHAnsi"/>
              </w:rPr>
              <w:t>U</w:t>
            </w:r>
            <w:r w:rsidRPr="0062173B">
              <w:rPr>
                <w:rFonts w:asciiTheme="minorHAnsi" w:hAnsiTheme="minorHAnsi" w:cstheme="minorHAnsi"/>
              </w:rPr>
              <w:t>niversity’s profile and esteem through a number of initiatives, for example the series of Town Hall Lectures which were attracting high profile organisations who wished to speak at GCUNY</w:t>
            </w:r>
            <w:r w:rsidR="00BF720D" w:rsidRPr="0062173B">
              <w:rPr>
                <w:rFonts w:asciiTheme="minorHAnsi" w:hAnsiTheme="minorHAnsi" w:cstheme="minorHAnsi"/>
              </w:rPr>
              <w:t>.  There was also focus on executive education.</w:t>
            </w:r>
          </w:p>
        </w:tc>
      </w:tr>
      <w:tr w:rsidR="00020747" w:rsidRPr="0062173B" w:rsidTr="002D2034">
        <w:tc>
          <w:tcPr>
            <w:tcW w:w="959" w:type="dxa"/>
          </w:tcPr>
          <w:p w:rsidR="00020747" w:rsidRPr="0062173B" w:rsidRDefault="00020747" w:rsidP="00B66982">
            <w:pPr>
              <w:pStyle w:val="NoSpacing"/>
              <w:jc w:val="both"/>
              <w:rPr>
                <w:rFonts w:asciiTheme="minorHAnsi" w:hAnsiTheme="minorHAnsi" w:cstheme="minorHAnsi"/>
              </w:rPr>
            </w:pPr>
          </w:p>
        </w:tc>
        <w:tc>
          <w:tcPr>
            <w:tcW w:w="1276" w:type="dxa"/>
          </w:tcPr>
          <w:p w:rsidR="00020747" w:rsidRPr="0062173B" w:rsidRDefault="00020747" w:rsidP="00B66982">
            <w:pPr>
              <w:pStyle w:val="NoSpacing"/>
              <w:jc w:val="both"/>
              <w:rPr>
                <w:rFonts w:asciiTheme="minorHAnsi" w:hAnsiTheme="minorHAnsi" w:cstheme="minorHAnsi"/>
              </w:rPr>
            </w:pPr>
          </w:p>
        </w:tc>
        <w:tc>
          <w:tcPr>
            <w:tcW w:w="708" w:type="dxa"/>
          </w:tcPr>
          <w:p w:rsidR="00020747" w:rsidRPr="0062173B" w:rsidRDefault="00020747" w:rsidP="00B66982">
            <w:pPr>
              <w:pStyle w:val="NoSpacing"/>
              <w:jc w:val="both"/>
              <w:rPr>
                <w:rFonts w:asciiTheme="minorHAnsi" w:hAnsiTheme="minorHAnsi" w:cstheme="minorHAnsi"/>
              </w:rPr>
            </w:pPr>
          </w:p>
        </w:tc>
        <w:tc>
          <w:tcPr>
            <w:tcW w:w="7655" w:type="dxa"/>
          </w:tcPr>
          <w:p w:rsidR="00020747" w:rsidRPr="0062173B" w:rsidRDefault="00020747" w:rsidP="00B66982">
            <w:pPr>
              <w:pStyle w:val="NoSpacing"/>
              <w:jc w:val="both"/>
              <w:rPr>
                <w:rFonts w:asciiTheme="minorHAnsi" w:hAnsiTheme="minorHAnsi"/>
              </w:rPr>
            </w:pPr>
          </w:p>
        </w:tc>
      </w:tr>
      <w:tr w:rsidR="00020747" w:rsidRPr="0062173B" w:rsidTr="002D2034">
        <w:tc>
          <w:tcPr>
            <w:tcW w:w="959" w:type="dxa"/>
          </w:tcPr>
          <w:p w:rsidR="00020747" w:rsidRPr="0062173B" w:rsidRDefault="00020747" w:rsidP="00B66982">
            <w:pPr>
              <w:pStyle w:val="NoSpacing"/>
              <w:jc w:val="both"/>
              <w:rPr>
                <w:rFonts w:asciiTheme="minorHAnsi" w:hAnsiTheme="minorHAnsi" w:cstheme="minorHAnsi"/>
              </w:rPr>
            </w:pPr>
          </w:p>
        </w:tc>
        <w:tc>
          <w:tcPr>
            <w:tcW w:w="1276" w:type="dxa"/>
          </w:tcPr>
          <w:p w:rsidR="00020747" w:rsidRPr="0062173B" w:rsidRDefault="00020747" w:rsidP="00B66982">
            <w:pPr>
              <w:pStyle w:val="NoSpacing"/>
              <w:jc w:val="both"/>
              <w:rPr>
                <w:rFonts w:asciiTheme="minorHAnsi" w:hAnsiTheme="minorHAnsi" w:cstheme="minorHAnsi"/>
              </w:rPr>
            </w:pPr>
          </w:p>
        </w:tc>
        <w:tc>
          <w:tcPr>
            <w:tcW w:w="708" w:type="dxa"/>
          </w:tcPr>
          <w:p w:rsidR="00020747" w:rsidRPr="0062173B" w:rsidRDefault="00020747" w:rsidP="00B66982">
            <w:pPr>
              <w:pStyle w:val="NoSpacing"/>
              <w:jc w:val="both"/>
              <w:rPr>
                <w:rFonts w:asciiTheme="minorHAnsi" w:hAnsiTheme="minorHAnsi" w:cstheme="minorHAnsi"/>
              </w:rPr>
            </w:pPr>
            <w:r w:rsidRPr="0062173B">
              <w:rPr>
                <w:rFonts w:asciiTheme="minorHAnsi" w:hAnsiTheme="minorHAnsi" w:cstheme="minorHAnsi"/>
              </w:rPr>
              <w:t>iii.</w:t>
            </w:r>
          </w:p>
        </w:tc>
        <w:tc>
          <w:tcPr>
            <w:tcW w:w="7655" w:type="dxa"/>
          </w:tcPr>
          <w:p w:rsidR="00020747" w:rsidRPr="0062173B" w:rsidRDefault="00020747" w:rsidP="00020747">
            <w:pPr>
              <w:pStyle w:val="NoSpacing"/>
              <w:jc w:val="both"/>
              <w:rPr>
                <w:rFonts w:asciiTheme="minorHAnsi" w:hAnsiTheme="minorHAnsi"/>
              </w:rPr>
            </w:pPr>
            <w:r w:rsidRPr="0062173B">
              <w:rPr>
                <w:rFonts w:asciiTheme="minorHAnsi" w:hAnsiTheme="minorHAnsi" w:cstheme="minorHAnsi"/>
              </w:rPr>
              <w:t>A paper setting out progress against the original business plan/budget as well as the current budget and cashflow would be submitted to the Finance &amp; General Purposes Committee meeting in January 2015</w:t>
            </w:r>
            <w:r w:rsidR="0062173B">
              <w:rPr>
                <w:rFonts w:asciiTheme="minorHAnsi" w:hAnsiTheme="minorHAnsi" w:cstheme="minorHAnsi"/>
              </w:rPr>
              <w:t xml:space="preserve"> and then to Court</w:t>
            </w:r>
            <w:r w:rsidRPr="0062173B">
              <w:rPr>
                <w:rFonts w:asciiTheme="minorHAnsi" w:hAnsiTheme="minorHAnsi" w:cstheme="minorHAnsi"/>
              </w:rPr>
              <w:t xml:space="preserve">.  </w:t>
            </w:r>
          </w:p>
        </w:tc>
      </w:tr>
    </w:tbl>
    <w:p w:rsidR="00772599" w:rsidRPr="0062173B" w:rsidRDefault="00772599" w:rsidP="0029399F">
      <w:pPr>
        <w:pStyle w:val="NoSpacing"/>
        <w:jc w:val="both"/>
        <w:rPr>
          <w:rFonts w:asciiTheme="minorHAnsi" w:hAnsiTheme="minorHAnsi" w:cstheme="minorHAnsi"/>
          <w:b/>
        </w:rPr>
      </w:pPr>
    </w:p>
    <w:p w:rsidR="005418C2" w:rsidRPr="0062173B" w:rsidRDefault="005418C2" w:rsidP="005418C2">
      <w:pPr>
        <w:pStyle w:val="NoSpacing"/>
        <w:jc w:val="both"/>
        <w:rPr>
          <w:rFonts w:asciiTheme="minorHAnsi" w:hAnsiTheme="minorHAnsi" w:cstheme="minorHAnsi"/>
          <w:b/>
        </w:rPr>
      </w:pPr>
      <w:r w:rsidRPr="0062173B">
        <w:rPr>
          <w:rFonts w:asciiTheme="minorHAnsi" w:hAnsiTheme="minorHAnsi" w:cstheme="minorHAnsi"/>
          <w:b/>
        </w:rPr>
        <w:t>University Annual Financial Statements and External Audit Letter of Representation</w:t>
      </w:r>
    </w:p>
    <w:p w:rsidR="005418C2" w:rsidRPr="0062173B" w:rsidRDefault="005418C2" w:rsidP="005418C2">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49"/>
        <w:gridCol w:w="1260"/>
        <w:gridCol w:w="630"/>
        <w:gridCol w:w="7700"/>
      </w:tblGrid>
      <w:tr w:rsidR="005418C2" w:rsidRPr="0062173B" w:rsidTr="002D2034">
        <w:tc>
          <w:tcPr>
            <w:tcW w:w="1008" w:type="dxa"/>
            <w:gridSpan w:val="2"/>
          </w:tcPr>
          <w:p w:rsidR="005418C2" w:rsidRPr="0062173B" w:rsidRDefault="005418C2" w:rsidP="00020747">
            <w:pPr>
              <w:pStyle w:val="BodyTextIndent2"/>
              <w:tabs>
                <w:tab w:val="left" w:pos="851"/>
              </w:tabs>
              <w:ind w:left="0" w:firstLine="0"/>
              <w:jc w:val="both"/>
              <w:rPr>
                <w:rFonts w:asciiTheme="minorHAnsi" w:hAnsiTheme="minorHAnsi" w:cstheme="minorHAnsi"/>
                <w:sz w:val="22"/>
                <w:szCs w:val="22"/>
              </w:rPr>
            </w:pPr>
            <w:r w:rsidRPr="0062173B">
              <w:rPr>
                <w:rFonts w:asciiTheme="minorHAnsi" w:hAnsiTheme="minorHAnsi" w:cstheme="minorHAnsi"/>
                <w:sz w:val="22"/>
                <w:szCs w:val="22"/>
              </w:rPr>
              <w:t>1</w:t>
            </w:r>
            <w:r w:rsidR="00020747" w:rsidRPr="0062173B">
              <w:rPr>
                <w:rFonts w:asciiTheme="minorHAnsi" w:hAnsiTheme="minorHAnsi" w:cstheme="minorHAnsi"/>
                <w:sz w:val="22"/>
                <w:szCs w:val="22"/>
              </w:rPr>
              <w:t>4</w:t>
            </w:r>
            <w:r w:rsidRPr="0062173B">
              <w:rPr>
                <w:rFonts w:asciiTheme="minorHAnsi" w:hAnsiTheme="minorHAnsi" w:cstheme="minorHAnsi"/>
                <w:sz w:val="22"/>
                <w:szCs w:val="22"/>
              </w:rPr>
              <w:t>.50</w:t>
            </w:r>
          </w:p>
        </w:tc>
        <w:tc>
          <w:tcPr>
            <w:tcW w:w="1260" w:type="dxa"/>
          </w:tcPr>
          <w:p w:rsidR="005418C2" w:rsidRPr="0062173B" w:rsidRDefault="005418C2" w:rsidP="006241D2">
            <w:pPr>
              <w:pStyle w:val="BodyTextIndent2"/>
              <w:tabs>
                <w:tab w:val="left" w:pos="851"/>
              </w:tabs>
              <w:ind w:left="0" w:firstLine="0"/>
              <w:jc w:val="both"/>
              <w:rPr>
                <w:rFonts w:asciiTheme="minorHAnsi" w:hAnsiTheme="minorHAnsi" w:cstheme="minorHAnsi"/>
                <w:sz w:val="22"/>
                <w:szCs w:val="22"/>
              </w:rPr>
            </w:pPr>
            <w:r w:rsidRPr="0062173B">
              <w:rPr>
                <w:rFonts w:asciiTheme="minorHAnsi" w:hAnsiTheme="minorHAnsi" w:cstheme="minorHAnsi"/>
                <w:sz w:val="22"/>
                <w:szCs w:val="22"/>
              </w:rPr>
              <w:t>Considered</w:t>
            </w:r>
          </w:p>
        </w:tc>
        <w:tc>
          <w:tcPr>
            <w:tcW w:w="630" w:type="dxa"/>
          </w:tcPr>
          <w:p w:rsidR="005418C2" w:rsidRPr="0062173B" w:rsidRDefault="005418C2" w:rsidP="006241D2">
            <w:pPr>
              <w:pStyle w:val="BodyTextIndent2"/>
              <w:tabs>
                <w:tab w:val="left" w:pos="851"/>
              </w:tabs>
              <w:ind w:left="0" w:firstLine="0"/>
              <w:jc w:val="both"/>
              <w:rPr>
                <w:rFonts w:asciiTheme="minorHAnsi" w:hAnsiTheme="minorHAnsi" w:cstheme="minorHAnsi"/>
                <w:sz w:val="22"/>
                <w:szCs w:val="22"/>
              </w:rPr>
            </w:pPr>
          </w:p>
        </w:tc>
        <w:tc>
          <w:tcPr>
            <w:tcW w:w="7700" w:type="dxa"/>
          </w:tcPr>
          <w:p w:rsidR="005418C2" w:rsidRPr="0062173B" w:rsidRDefault="005418C2" w:rsidP="00020747">
            <w:pPr>
              <w:pStyle w:val="BodyTextIndent2"/>
              <w:tabs>
                <w:tab w:val="left" w:pos="851"/>
              </w:tabs>
              <w:ind w:left="0" w:firstLine="0"/>
              <w:jc w:val="both"/>
              <w:rPr>
                <w:rFonts w:asciiTheme="minorHAnsi" w:hAnsiTheme="minorHAnsi" w:cstheme="minorHAnsi"/>
                <w:sz w:val="22"/>
                <w:szCs w:val="22"/>
              </w:rPr>
            </w:pPr>
            <w:r w:rsidRPr="0062173B">
              <w:rPr>
                <w:rFonts w:asciiTheme="minorHAnsi" w:hAnsiTheme="minorHAnsi" w:cstheme="minorHAnsi"/>
                <w:sz w:val="22"/>
                <w:szCs w:val="22"/>
              </w:rPr>
              <w:t>Document UC1</w:t>
            </w:r>
            <w:r w:rsidR="00020747" w:rsidRPr="0062173B">
              <w:rPr>
                <w:rFonts w:asciiTheme="minorHAnsi" w:hAnsiTheme="minorHAnsi" w:cstheme="minorHAnsi"/>
                <w:sz w:val="22"/>
                <w:szCs w:val="22"/>
              </w:rPr>
              <w:t>4</w:t>
            </w:r>
            <w:r w:rsidRPr="0062173B">
              <w:rPr>
                <w:rFonts w:asciiTheme="minorHAnsi" w:hAnsiTheme="minorHAnsi" w:cstheme="minorHAnsi"/>
                <w:sz w:val="22"/>
                <w:szCs w:val="22"/>
              </w:rPr>
              <w:t>/2</w:t>
            </w:r>
            <w:r w:rsidR="00020747" w:rsidRPr="0062173B">
              <w:rPr>
                <w:rFonts w:asciiTheme="minorHAnsi" w:hAnsiTheme="minorHAnsi" w:cstheme="minorHAnsi"/>
                <w:sz w:val="22"/>
                <w:szCs w:val="22"/>
              </w:rPr>
              <w:t>5</w:t>
            </w:r>
            <w:r w:rsidRPr="0062173B">
              <w:rPr>
                <w:rFonts w:asciiTheme="minorHAnsi" w:hAnsiTheme="minorHAnsi" w:cstheme="minorHAnsi"/>
                <w:sz w:val="22"/>
                <w:szCs w:val="22"/>
              </w:rPr>
              <w:t xml:space="preserve"> the</w:t>
            </w:r>
            <w:r w:rsidR="00145193" w:rsidRPr="0062173B">
              <w:rPr>
                <w:rFonts w:asciiTheme="minorHAnsi" w:hAnsiTheme="minorHAnsi" w:cstheme="minorHAnsi"/>
                <w:sz w:val="22"/>
                <w:szCs w:val="22"/>
              </w:rPr>
              <w:t xml:space="preserve"> University’s </w:t>
            </w:r>
            <w:r w:rsidRPr="0062173B">
              <w:rPr>
                <w:rFonts w:asciiTheme="minorHAnsi" w:hAnsiTheme="minorHAnsi" w:cstheme="minorHAnsi"/>
                <w:sz w:val="22"/>
                <w:szCs w:val="22"/>
              </w:rPr>
              <w:t>annual financial statements for 201</w:t>
            </w:r>
            <w:r w:rsidR="00020747" w:rsidRPr="0062173B">
              <w:rPr>
                <w:rFonts w:asciiTheme="minorHAnsi" w:hAnsiTheme="minorHAnsi" w:cstheme="minorHAnsi"/>
                <w:sz w:val="22"/>
                <w:szCs w:val="22"/>
              </w:rPr>
              <w:t>3</w:t>
            </w:r>
            <w:r w:rsidRPr="0062173B">
              <w:rPr>
                <w:rFonts w:asciiTheme="minorHAnsi" w:hAnsiTheme="minorHAnsi" w:cstheme="minorHAnsi"/>
                <w:sz w:val="22"/>
                <w:szCs w:val="22"/>
              </w:rPr>
              <w:t>/1</w:t>
            </w:r>
            <w:r w:rsidR="00020747" w:rsidRPr="0062173B">
              <w:rPr>
                <w:rFonts w:asciiTheme="minorHAnsi" w:hAnsiTheme="minorHAnsi" w:cstheme="minorHAnsi"/>
                <w:sz w:val="22"/>
                <w:szCs w:val="22"/>
              </w:rPr>
              <w:t>4</w:t>
            </w:r>
            <w:r w:rsidRPr="0062173B">
              <w:rPr>
                <w:rFonts w:asciiTheme="minorHAnsi" w:hAnsiTheme="minorHAnsi" w:cstheme="minorHAnsi"/>
                <w:sz w:val="22"/>
                <w:szCs w:val="22"/>
              </w:rPr>
              <w:t xml:space="preserve"> and </w:t>
            </w:r>
            <w:r w:rsidRPr="0062173B">
              <w:rPr>
                <w:rFonts w:asciiTheme="minorHAnsi" w:hAnsiTheme="minorHAnsi" w:cstheme="minorHAnsi"/>
                <w:sz w:val="22"/>
                <w:szCs w:val="22"/>
              </w:rPr>
              <w:lastRenderedPageBreak/>
              <w:t>the external audit letter of representation</w:t>
            </w:r>
            <w:r w:rsidR="00145193" w:rsidRPr="0062173B">
              <w:rPr>
                <w:rFonts w:asciiTheme="minorHAnsi" w:hAnsiTheme="minorHAnsi" w:cstheme="minorHAnsi"/>
                <w:sz w:val="22"/>
                <w:szCs w:val="22"/>
              </w:rPr>
              <w:t>.</w:t>
            </w:r>
          </w:p>
        </w:tc>
      </w:tr>
      <w:tr w:rsidR="008E0674" w:rsidRPr="0062173B" w:rsidTr="002D2034">
        <w:tc>
          <w:tcPr>
            <w:tcW w:w="1008" w:type="dxa"/>
            <w:gridSpan w:val="2"/>
          </w:tcPr>
          <w:p w:rsidR="008E0674" w:rsidRPr="0062173B" w:rsidRDefault="008E0674" w:rsidP="006241D2">
            <w:pPr>
              <w:pStyle w:val="BodyText"/>
              <w:jc w:val="both"/>
              <w:rPr>
                <w:rFonts w:asciiTheme="minorHAnsi" w:hAnsiTheme="minorHAnsi" w:cstheme="minorHAnsi"/>
                <w:b w:val="0"/>
                <w:sz w:val="22"/>
                <w:szCs w:val="22"/>
              </w:rPr>
            </w:pPr>
          </w:p>
        </w:tc>
        <w:tc>
          <w:tcPr>
            <w:tcW w:w="1260" w:type="dxa"/>
          </w:tcPr>
          <w:p w:rsidR="008E0674" w:rsidRPr="0062173B" w:rsidRDefault="008E0674" w:rsidP="006241D2">
            <w:pPr>
              <w:pStyle w:val="BodyText"/>
              <w:jc w:val="both"/>
              <w:rPr>
                <w:rFonts w:asciiTheme="minorHAnsi" w:hAnsiTheme="minorHAnsi" w:cstheme="minorHAnsi"/>
                <w:b w:val="0"/>
                <w:sz w:val="22"/>
                <w:szCs w:val="22"/>
              </w:rPr>
            </w:pPr>
          </w:p>
        </w:tc>
        <w:tc>
          <w:tcPr>
            <w:tcW w:w="630" w:type="dxa"/>
          </w:tcPr>
          <w:p w:rsidR="008E0674" w:rsidRPr="0062173B" w:rsidRDefault="008E0674" w:rsidP="006241D2">
            <w:pPr>
              <w:pStyle w:val="BodyText"/>
              <w:jc w:val="both"/>
              <w:rPr>
                <w:rFonts w:asciiTheme="minorHAnsi" w:hAnsiTheme="minorHAnsi" w:cstheme="minorHAnsi"/>
                <w:b w:val="0"/>
                <w:sz w:val="22"/>
                <w:szCs w:val="22"/>
              </w:rPr>
            </w:pPr>
          </w:p>
        </w:tc>
        <w:tc>
          <w:tcPr>
            <w:tcW w:w="7700" w:type="dxa"/>
          </w:tcPr>
          <w:p w:rsidR="008E0674" w:rsidRPr="0062173B" w:rsidRDefault="008E0674" w:rsidP="00503C6C">
            <w:pPr>
              <w:pStyle w:val="BodyText"/>
              <w:jc w:val="both"/>
              <w:rPr>
                <w:rFonts w:asciiTheme="minorHAnsi" w:hAnsiTheme="minorHAnsi" w:cstheme="minorHAnsi"/>
                <w:b w:val="0"/>
                <w:i/>
                <w:sz w:val="22"/>
                <w:szCs w:val="22"/>
                <w:u w:val="single"/>
              </w:rPr>
            </w:pPr>
          </w:p>
        </w:tc>
      </w:tr>
      <w:tr w:rsidR="008E0674" w:rsidRPr="0062173B" w:rsidTr="002D2034">
        <w:tc>
          <w:tcPr>
            <w:tcW w:w="1008" w:type="dxa"/>
            <w:gridSpan w:val="2"/>
          </w:tcPr>
          <w:p w:rsidR="008E0674" w:rsidRPr="0062173B" w:rsidRDefault="008E0674" w:rsidP="00503C6C">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w:t>
            </w:r>
            <w:r w:rsidR="00503C6C" w:rsidRPr="0062173B">
              <w:rPr>
                <w:rFonts w:asciiTheme="minorHAnsi" w:hAnsiTheme="minorHAnsi" w:cstheme="minorHAnsi"/>
                <w:b w:val="0"/>
                <w:sz w:val="22"/>
                <w:szCs w:val="22"/>
              </w:rPr>
              <w:t>4</w:t>
            </w:r>
            <w:r w:rsidRPr="0062173B">
              <w:rPr>
                <w:rFonts w:asciiTheme="minorHAnsi" w:hAnsiTheme="minorHAnsi" w:cstheme="minorHAnsi"/>
                <w:b w:val="0"/>
                <w:sz w:val="22"/>
                <w:szCs w:val="22"/>
              </w:rPr>
              <w:t>.5</w:t>
            </w:r>
            <w:r w:rsidR="00503C6C" w:rsidRPr="0062173B">
              <w:rPr>
                <w:rFonts w:asciiTheme="minorHAnsi" w:hAnsiTheme="minorHAnsi" w:cstheme="minorHAnsi"/>
                <w:b w:val="0"/>
                <w:sz w:val="22"/>
                <w:szCs w:val="22"/>
              </w:rPr>
              <w:t>1</w:t>
            </w:r>
          </w:p>
        </w:tc>
        <w:tc>
          <w:tcPr>
            <w:tcW w:w="1260" w:type="dxa"/>
          </w:tcPr>
          <w:p w:rsidR="008E0674" w:rsidRPr="0062173B" w:rsidRDefault="008E0674" w:rsidP="006241D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Noted</w:t>
            </w:r>
          </w:p>
        </w:tc>
        <w:tc>
          <w:tcPr>
            <w:tcW w:w="630" w:type="dxa"/>
          </w:tcPr>
          <w:p w:rsidR="008E0674" w:rsidRPr="0062173B" w:rsidRDefault="008E0674" w:rsidP="006241D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i.</w:t>
            </w:r>
          </w:p>
        </w:tc>
        <w:tc>
          <w:tcPr>
            <w:tcW w:w="7700" w:type="dxa"/>
          </w:tcPr>
          <w:p w:rsidR="008E0674" w:rsidRPr="0062173B" w:rsidRDefault="008E0674" w:rsidP="00503C6C">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 xml:space="preserve">The Finance &amp; General Purposes Committee and the Audit Committee had reviewed the draft annual financial statements at their meetings on </w:t>
            </w:r>
            <w:r w:rsidR="00503C6C" w:rsidRPr="0062173B">
              <w:rPr>
                <w:rFonts w:asciiTheme="minorHAnsi" w:hAnsiTheme="minorHAnsi" w:cstheme="minorHAnsi"/>
                <w:b w:val="0"/>
                <w:sz w:val="22"/>
                <w:szCs w:val="22"/>
              </w:rPr>
              <w:t>29</w:t>
            </w:r>
            <w:r w:rsidRPr="0062173B">
              <w:rPr>
                <w:rFonts w:asciiTheme="minorHAnsi" w:hAnsiTheme="minorHAnsi" w:cstheme="minorHAnsi"/>
                <w:b w:val="0"/>
                <w:sz w:val="22"/>
                <w:szCs w:val="22"/>
                <w:vertAlign w:val="superscript"/>
              </w:rPr>
              <w:t>th</w:t>
            </w:r>
            <w:r w:rsidRPr="0062173B">
              <w:rPr>
                <w:rFonts w:asciiTheme="minorHAnsi" w:hAnsiTheme="minorHAnsi" w:cstheme="minorHAnsi"/>
                <w:b w:val="0"/>
                <w:sz w:val="22"/>
                <w:szCs w:val="22"/>
              </w:rPr>
              <w:t xml:space="preserve"> and </w:t>
            </w:r>
            <w:r w:rsidR="00503C6C" w:rsidRPr="0062173B">
              <w:rPr>
                <w:rFonts w:asciiTheme="minorHAnsi" w:hAnsiTheme="minorHAnsi" w:cstheme="minorHAnsi"/>
                <w:b w:val="0"/>
                <w:sz w:val="22"/>
                <w:szCs w:val="22"/>
              </w:rPr>
              <w:t>31</w:t>
            </w:r>
            <w:r w:rsidR="00503C6C" w:rsidRPr="0062173B">
              <w:rPr>
                <w:rFonts w:asciiTheme="minorHAnsi" w:hAnsiTheme="minorHAnsi" w:cstheme="minorHAnsi"/>
                <w:b w:val="0"/>
                <w:sz w:val="22"/>
                <w:szCs w:val="22"/>
                <w:vertAlign w:val="superscript"/>
              </w:rPr>
              <w:t>st</w:t>
            </w:r>
            <w:r w:rsidR="00503C6C" w:rsidRPr="0062173B">
              <w:rPr>
                <w:rFonts w:asciiTheme="minorHAnsi" w:hAnsiTheme="minorHAnsi" w:cstheme="minorHAnsi"/>
                <w:b w:val="0"/>
                <w:sz w:val="22"/>
                <w:szCs w:val="22"/>
              </w:rPr>
              <w:t xml:space="preserve"> </w:t>
            </w:r>
            <w:r w:rsidRPr="0062173B">
              <w:rPr>
                <w:rFonts w:asciiTheme="minorHAnsi" w:hAnsiTheme="minorHAnsi" w:cstheme="minorHAnsi"/>
                <w:b w:val="0"/>
                <w:sz w:val="22"/>
                <w:szCs w:val="22"/>
              </w:rPr>
              <w:t>October 201</w:t>
            </w:r>
            <w:r w:rsidR="00503C6C" w:rsidRPr="0062173B">
              <w:rPr>
                <w:rFonts w:asciiTheme="minorHAnsi" w:hAnsiTheme="minorHAnsi" w:cstheme="minorHAnsi"/>
                <w:b w:val="0"/>
                <w:sz w:val="22"/>
                <w:szCs w:val="22"/>
              </w:rPr>
              <w:t>4</w:t>
            </w:r>
            <w:r w:rsidRPr="0062173B">
              <w:rPr>
                <w:rFonts w:asciiTheme="minorHAnsi" w:hAnsiTheme="minorHAnsi" w:cstheme="minorHAnsi"/>
                <w:b w:val="0"/>
                <w:sz w:val="22"/>
                <w:szCs w:val="22"/>
              </w:rPr>
              <w:t xml:space="preserve"> respectively and recommended that they be submitted to the University Court for approval.  </w:t>
            </w:r>
          </w:p>
        </w:tc>
      </w:tr>
      <w:tr w:rsidR="008E0674" w:rsidRPr="0062173B" w:rsidTr="002D2034">
        <w:tc>
          <w:tcPr>
            <w:tcW w:w="1008" w:type="dxa"/>
            <w:gridSpan w:val="2"/>
          </w:tcPr>
          <w:p w:rsidR="008E0674" w:rsidRPr="0062173B" w:rsidRDefault="008E0674" w:rsidP="006241D2">
            <w:pPr>
              <w:pStyle w:val="BodyText"/>
              <w:jc w:val="both"/>
              <w:rPr>
                <w:rFonts w:asciiTheme="minorHAnsi" w:hAnsiTheme="minorHAnsi" w:cstheme="minorHAnsi"/>
                <w:b w:val="0"/>
                <w:sz w:val="22"/>
                <w:szCs w:val="22"/>
              </w:rPr>
            </w:pPr>
          </w:p>
        </w:tc>
        <w:tc>
          <w:tcPr>
            <w:tcW w:w="1260" w:type="dxa"/>
          </w:tcPr>
          <w:p w:rsidR="008E0674" w:rsidRPr="0062173B" w:rsidRDefault="008E0674" w:rsidP="006241D2">
            <w:pPr>
              <w:pStyle w:val="BodyText"/>
              <w:jc w:val="both"/>
              <w:rPr>
                <w:rFonts w:asciiTheme="minorHAnsi" w:hAnsiTheme="minorHAnsi" w:cstheme="minorHAnsi"/>
                <w:b w:val="0"/>
                <w:sz w:val="22"/>
                <w:szCs w:val="22"/>
              </w:rPr>
            </w:pPr>
          </w:p>
        </w:tc>
        <w:tc>
          <w:tcPr>
            <w:tcW w:w="630" w:type="dxa"/>
          </w:tcPr>
          <w:p w:rsidR="008E0674" w:rsidRPr="0062173B" w:rsidRDefault="008E0674" w:rsidP="006241D2">
            <w:pPr>
              <w:pStyle w:val="BodyText"/>
              <w:jc w:val="both"/>
              <w:rPr>
                <w:rFonts w:asciiTheme="minorHAnsi" w:hAnsiTheme="minorHAnsi" w:cstheme="minorHAnsi"/>
                <w:b w:val="0"/>
                <w:sz w:val="22"/>
                <w:szCs w:val="22"/>
              </w:rPr>
            </w:pPr>
          </w:p>
        </w:tc>
        <w:tc>
          <w:tcPr>
            <w:tcW w:w="7700" w:type="dxa"/>
          </w:tcPr>
          <w:p w:rsidR="008E0674" w:rsidRPr="0062173B" w:rsidRDefault="008E0674" w:rsidP="006241D2">
            <w:pPr>
              <w:pStyle w:val="BodyText"/>
              <w:jc w:val="both"/>
              <w:rPr>
                <w:rFonts w:asciiTheme="minorHAnsi" w:hAnsiTheme="minorHAnsi" w:cstheme="minorHAnsi"/>
                <w:b w:val="0"/>
                <w:sz w:val="22"/>
                <w:szCs w:val="22"/>
              </w:rPr>
            </w:pPr>
          </w:p>
        </w:tc>
      </w:tr>
      <w:tr w:rsidR="008E0674" w:rsidRPr="0062173B" w:rsidTr="002D2034">
        <w:tc>
          <w:tcPr>
            <w:tcW w:w="1008" w:type="dxa"/>
            <w:gridSpan w:val="2"/>
          </w:tcPr>
          <w:p w:rsidR="008E0674" w:rsidRPr="0062173B" w:rsidRDefault="008E0674" w:rsidP="006241D2">
            <w:pPr>
              <w:pStyle w:val="BodyText"/>
              <w:jc w:val="both"/>
              <w:rPr>
                <w:rFonts w:asciiTheme="minorHAnsi" w:hAnsiTheme="minorHAnsi" w:cstheme="minorHAnsi"/>
                <w:b w:val="0"/>
                <w:sz w:val="22"/>
                <w:szCs w:val="22"/>
              </w:rPr>
            </w:pPr>
          </w:p>
        </w:tc>
        <w:tc>
          <w:tcPr>
            <w:tcW w:w="1260" w:type="dxa"/>
          </w:tcPr>
          <w:p w:rsidR="008E0674" w:rsidRPr="0062173B" w:rsidRDefault="008E0674" w:rsidP="006241D2">
            <w:pPr>
              <w:pStyle w:val="BodyText"/>
              <w:jc w:val="both"/>
              <w:rPr>
                <w:rFonts w:asciiTheme="minorHAnsi" w:hAnsiTheme="minorHAnsi" w:cstheme="minorHAnsi"/>
                <w:b w:val="0"/>
                <w:sz w:val="22"/>
                <w:szCs w:val="22"/>
              </w:rPr>
            </w:pPr>
          </w:p>
        </w:tc>
        <w:tc>
          <w:tcPr>
            <w:tcW w:w="630" w:type="dxa"/>
          </w:tcPr>
          <w:p w:rsidR="008E0674" w:rsidRPr="0062173B" w:rsidRDefault="008E0674" w:rsidP="006241D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ii.</w:t>
            </w:r>
          </w:p>
        </w:tc>
        <w:tc>
          <w:tcPr>
            <w:tcW w:w="7700" w:type="dxa"/>
          </w:tcPr>
          <w:p w:rsidR="008E0674" w:rsidRPr="0062173B" w:rsidRDefault="008E0674" w:rsidP="00E65987">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 xml:space="preserve">The </w:t>
            </w:r>
            <w:r w:rsidR="00E65987" w:rsidRPr="0062173B">
              <w:rPr>
                <w:rFonts w:asciiTheme="minorHAnsi" w:hAnsiTheme="minorHAnsi" w:cstheme="minorHAnsi"/>
                <w:b w:val="0"/>
                <w:sz w:val="22"/>
                <w:szCs w:val="22"/>
              </w:rPr>
              <w:t>Chief Financial Officer &amp; VP Infrastructure</w:t>
            </w:r>
            <w:r w:rsidRPr="0062173B">
              <w:rPr>
                <w:rFonts w:asciiTheme="minorHAnsi" w:hAnsiTheme="minorHAnsi" w:cstheme="minorHAnsi"/>
                <w:b w:val="0"/>
                <w:sz w:val="22"/>
                <w:szCs w:val="22"/>
              </w:rPr>
              <w:t xml:space="preserve"> provided points of clarification on the detail of the accounts.  Issues highlighted included the following:</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45"/>
              </w:numPr>
              <w:jc w:val="both"/>
              <w:rPr>
                <w:rFonts w:asciiTheme="minorHAnsi" w:hAnsiTheme="minorHAnsi" w:cs="Calibri"/>
              </w:rPr>
            </w:pPr>
            <w:r w:rsidRPr="0062173B">
              <w:rPr>
                <w:rFonts w:asciiTheme="minorHAnsi" w:hAnsiTheme="minorHAnsi" w:cs="Calibri"/>
              </w:rPr>
              <w:t xml:space="preserve">The accounts for the University’s subsidiary companies were consolidated into the overall University accounts.  </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jc w:val="both"/>
              <w:rPr>
                <w:rFonts w:asciiTheme="minorHAnsi" w:hAnsiTheme="minorHAnsi" w:cs="Calibr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cs="Calibri"/>
              </w:rPr>
            </w:pPr>
            <w:r w:rsidRPr="0062173B">
              <w:rPr>
                <w:rFonts w:asciiTheme="minorHAnsi" w:hAnsiTheme="minorHAnsi" w:cs="Calibri"/>
              </w:rPr>
              <w:t>There had been no changes to the accounting policies during the year.</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jc w:val="both"/>
              <w:rPr>
                <w:rFonts w:asciiTheme="minorHAnsi" w:hAnsiTheme="minorHAnsi" w:cs="Calibr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cs="Calibri"/>
              </w:rPr>
            </w:pPr>
            <w:r w:rsidRPr="0062173B">
              <w:rPr>
                <w:rFonts w:asciiTheme="minorHAnsi" w:hAnsiTheme="minorHAnsi" w:cs="Calibri"/>
              </w:rPr>
              <w:t xml:space="preserve">The external auditors had completed their audit of the draft annual accounts.  No issues had been identified nor were there any changes to the figures presented in the accounts. </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jc w:val="both"/>
              <w:rPr>
                <w:rFonts w:asciiTheme="minorHAnsi" w:hAnsiTheme="minorHAnsi" w:cs="Calibr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cs="Calibri"/>
              </w:rPr>
            </w:pPr>
            <w:r w:rsidRPr="0062173B">
              <w:rPr>
                <w:rFonts w:asciiTheme="minorHAnsi" w:hAnsiTheme="minorHAnsi" w:cs="Calibri"/>
              </w:rPr>
              <w:t>The Chair of Court had reviewed the Corporate Governance Statement.</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jc w:val="both"/>
              <w:rPr>
                <w:rFonts w:asciiTheme="minorHAnsi" w:hAnsiTheme="minorHAnsi" w:cs="Calibr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rPr>
            </w:pPr>
            <w:r w:rsidRPr="0062173B">
              <w:rPr>
                <w:rFonts w:asciiTheme="minorHAnsi" w:hAnsiTheme="minorHAnsi"/>
              </w:rPr>
              <w:t xml:space="preserve">There was an overall surplus of £3.7 million which constituted 3.2% of turnover and was in line with the University’s sustainability target. </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jc w:val="both"/>
              <w:rPr>
                <w:rFonts w:asciiTheme="minorHAnsi" w:hAnsiTheme="minorHAns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rPr>
            </w:pPr>
            <w:r w:rsidRPr="0062173B">
              <w:rPr>
                <w:rFonts w:asciiTheme="minorHAnsi" w:hAnsiTheme="minorHAnsi"/>
              </w:rPr>
              <w:t>INTO had generated a small surplus.</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jc w:val="both"/>
              <w:rPr>
                <w:rFonts w:asciiTheme="minorHAnsi" w:hAnsiTheme="minorHAnsi" w:cs="Calibr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cs="Calibri"/>
              </w:rPr>
            </w:pPr>
            <w:r w:rsidRPr="0062173B">
              <w:rPr>
                <w:rFonts w:asciiTheme="minorHAnsi" w:hAnsiTheme="minorHAnsi" w:cs="Calibri"/>
              </w:rPr>
              <w:t xml:space="preserve">Whilst core staff costs had decreased, overall staff costs had increased primarily due to an increase in research activity and research funding for fixed term staff. </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jc w:val="both"/>
              <w:rPr>
                <w:rFonts w:asciiTheme="minorHAnsi" w:hAnsiTheme="minorHAnsi" w:cs="Calibr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cs="Calibri"/>
              </w:rPr>
            </w:pPr>
            <w:r w:rsidRPr="0062173B">
              <w:rPr>
                <w:rFonts w:asciiTheme="minorHAnsi" w:hAnsiTheme="minorHAnsi" w:cs="Calibri"/>
              </w:rPr>
              <w:t>The pattern of overdue debt over the previous three years continued to show an improvement.</w:t>
            </w: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B66982">
            <w:pPr>
              <w:pStyle w:val="NoSpacing"/>
              <w:ind w:left="360"/>
              <w:jc w:val="both"/>
              <w:rPr>
                <w:rFonts w:asciiTheme="minorHAnsi" w:hAnsiTheme="minorHAnsi" w:cs="Calibri"/>
              </w:rPr>
            </w:pPr>
          </w:p>
        </w:tc>
      </w:tr>
      <w:tr w:rsidR="00503C6C" w:rsidRPr="0062173B" w:rsidTr="002D2034">
        <w:tblPrEx>
          <w:tblLook w:val="04A0" w:firstRow="1" w:lastRow="0" w:firstColumn="1" w:lastColumn="0" w:noHBand="0" w:noVBand="1"/>
        </w:tblPrEx>
        <w:tc>
          <w:tcPr>
            <w:tcW w:w="1008" w:type="dxa"/>
            <w:gridSpan w:val="2"/>
          </w:tcPr>
          <w:p w:rsidR="00503C6C" w:rsidRPr="0062173B" w:rsidRDefault="00503C6C" w:rsidP="00B66982">
            <w:pPr>
              <w:pStyle w:val="NoSpacing"/>
              <w:jc w:val="both"/>
              <w:rPr>
                <w:rFonts w:asciiTheme="minorHAnsi" w:hAnsiTheme="minorHAnsi" w:cs="Calibri"/>
              </w:rPr>
            </w:pPr>
          </w:p>
        </w:tc>
        <w:tc>
          <w:tcPr>
            <w:tcW w:w="1260" w:type="dxa"/>
          </w:tcPr>
          <w:p w:rsidR="00503C6C" w:rsidRPr="0062173B" w:rsidRDefault="00503C6C" w:rsidP="00B66982">
            <w:pPr>
              <w:pStyle w:val="NoSpacing"/>
              <w:jc w:val="both"/>
              <w:rPr>
                <w:rFonts w:asciiTheme="minorHAnsi" w:hAnsiTheme="minorHAnsi" w:cs="Calibri"/>
              </w:rPr>
            </w:pPr>
          </w:p>
        </w:tc>
        <w:tc>
          <w:tcPr>
            <w:tcW w:w="630" w:type="dxa"/>
          </w:tcPr>
          <w:p w:rsidR="00503C6C" w:rsidRPr="0062173B" w:rsidRDefault="00503C6C" w:rsidP="00B66982">
            <w:pPr>
              <w:pStyle w:val="NoSpacing"/>
              <w:jc w:val="both"/>
              <w:rPr>
                <w:rFonts w:asciiTheme="minorHAnsi" w:hAnsiTheme="minorHAnsi" w:cs="Calibri"/>
              </w:rPr>
            </w:pPr>
          </w:p>
        </w:tc>
        <w:tc>
          <w:tcPr>
            <w:tcW w:w="7700" w:type="dxa"/>
          </w:tcPr>
          <w:p w:rsidR="00503C6C" w:rsidRPr="0062173B" w:rsidRDefault="00503C6C" w:rsidP="00503C6C">
            <w:pPr>
              <w:pStyle w:val="NoSpacing"/>
              <w:numPr>
                <w:ilvl w:val="0"/>
                <w:numId w:val="36"/>
              </w:numPr>
              <w:jc w:val="both"/>
              <w:rPr>
                <w:rFonts w:asciiTheme="minorHAnsi" w:hAnsiTheme="minorHAnsi" w:cs="Calibri"/>
              </w:rPr>
            </w:pPr>
            <w:r w:rsidRPr="0062173B">
              <w:rPr>
                <w:rFonts w:asciiTheme="minorHAnsi" w:hAnsiTheme="minorHAnsi" w:cs="Calibri"/>
              </w:rPr>
              <w:t>There were no material changes in the financial statements for the subsidiary companies which remained consistent with previous years.</w:t>
            </w:r>
          </w:p>
        </w:tc>
      </w:tr>
      <w:tr w:rsidR="00503C6C" w:rsidRPr="0062173B" w:rsidTr="002D2034">
        <w:tc>
          <w:tcPr>
            <w:tcW w:w="959" w:type="dxa"/>
          </w:tcPr>
          <w:p w:rsidR="00503C6C" w:rsidRPr="0062173B" w:rsidRDefault="00503C6C" w:rsidP="006241D2">
            <w:pPr>
              <w:pStyle w:val="BodyText"/>
              <w:jc w:val="both"/>
              <w:rPr>
                <w:rFonts w:asciiTheme="minorHAnsi" w:hAnsiTheme="minorHAnsi" w:cstheme="minorHAnsi"/>
                <w:b w:val="0"/>
                <w:sz w:val="22"/>
                <w:szCs w:val="22"/>
              </w:rPr>
            </w:pPr>
          </w:p>
        </w:tc>
        <w:tc>
          <w:tcPr>
            <w:tcW w:w="1309" w:type="dxa"/>
            <w:gridSpan w:val="2"/>
          </w:tcPr>
          <w:p w:rsidR="00503C6C" w:rsidRPr="0062173B" w:rsidRDefault="00503C6C" w:rsidP="006241D2">
            <w:pPr>
              <w:pStyle w:val="BodyText"/>
              <w:jc w:val="both"/>
              <w:rPr>
                <w:rFonts w:asciiTheme="minorHAnsi" w:hAnsiTheme="minorHAnsi" w:cstheme="minorHAnsi"/>
                <w:b w:val="0"/>
                <w:sz w:val="22"/>
                <w:szCs w:val="22"/>
              </w:rPr>
            </w:pPr>
          </w:p>
        </w:tc>
        <w:tc>
          <w:tcPr>
            <w:tcW w:w="630" w:type="dxa"/>
          </w:tcPr>
          <w:p w:rsidR="00503C6C" w:rsidRPr="0062173B" w:rsidRDefault="00503C6C" w:rsidP="006241D2">
            <w:pPr>
              <w:pStyle w:val="BodyText"/>
              <w:jc w:val="both"/>
              <w:rPr>
                <w:rFonts w:asciiTheme="minorHAnsi" w:hAnsiTheme="minorHAnsi" w:cstheme="minorHAnsi"/>
                <w:b w:val="0"/>
                <w:sz w:val="22"/>
                <w:szCs w:val="22"/>
              </w:rPr>
            </w:pPr>
          </w:p>
        </w:tc>
        <w:tc>
          <w:tcPr>
            <w:tcW w:w="7700" w:type="dxa"/>
          </w:tcPr>
          <w:p w:rsidR="00503C6C" w:rsidRPr="0062173B" w:rsidRDefault="00503C6C" w:rsidP="006241D2">
            <w:pPr>
              <w:pStyle w:val="BodyText"/>
              <w:jc w:val="both"/>
              <w:rPr>
                <w:rFonts w:asciiTheme="minorHAnsi" w:hAnsiTheme="minorHAnsi" w:cstheme="minorHAnsi"/>
                <w:b w:val="0"/>
                <w:sz w:val="22"/>
                <w:szCs w:val="22"/>
              </w:rPr>
            </w:pPr>
          </w:p>
        </w:tc>
      </w:tr>
      <w:tr w:rsidR="00794596" w:rsidRPr="0062173B" w:rsidTr="002D2034">
        <w:tc>
          <w:tcPr>
            <w:tcW w:w="959" w:type="dxa"/>
          </w:tcPr>
          <w:p w:rsidR="00794596" w:rsidRPr="0062173B" w:rsidRDefault="00794596" w:rsidP="006241D2">
            <w:pPr>
              <w:pStyle w:val="BodyText"/>
              <w:jc w:val="both"/>
              <w:rPr>
                <w:rFonts w:asciiTheme="minorHAnsi" w:hAnsiTheme="minorHAnsi" w:cstheme="minorHAnsi"/>
                <w:b w:val="0"/>
                <w:sz w:val="22"/>
                <w:szCs w:val="22"/>
              </w:rPr>
            </w:pPr>
          </w:p>
        </w:tc>
        <w:tc>
          <w:tcPr>
            <w:tcW w:w="1309" w:type="dxa"/>
            <w:gridSpan w:val="2"/>
          </w:tcPr>
          <w:p w:rsidR="00794596" w:rsidRPr="0062173B" w:rsidRDefault="00794596" w:rsidP="006241D2">
            <w:pPr>
              <w:pStyle w:val="BodyText"/>
              <w:jc w:val="both"/>
              <w:rPr>
                <w:rFonts w:asciiTheme="minorHAnsi" w:hAnsiTheme="minorHAnsi" w:cstheme="minorHAnsi"/>
                <w:b w:val="0"/>
                <w:sz w:val="22"/>
                <w:szCs w:val="22"/>
              </w:rPr>
            </w:pPr>
          </w:p>
        </w:tc>
        <w:tc>
          <w:tcPr>
            <w:tcW w:w="630" w:type="dxa"/>
          </w:tcPr>
          <w:p w:rsidR="00794596" w:rsidRPr="0062173B" w:rsidRDefault="00F64B42" w:rsidP="006241D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ii.</w:t>
            </w:r>
          </w:p>
        </w:tc>
        <w:tc>
          <w:tcPr>
            <w:tcW w:w="7700" w:type="dxa"/>
          </w:tcPr>
          <w:p w:rsidR="00794596" w:rsidRPr="0062173B" w:rsidRDefault="00794596" w:rsidP="006241D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The letter of representation was presented in a standard format used by KPMG and encompassed the areas where they required to seek assurance to enable them to issue their audit opinion on the financial statements of the University and its subsidiary companies.   The external auditors had raised no material issues.</w:t>
            </w:r>
            <w:r w:rsidR="00F64B42" w:rsidRPr="0062173B">
              <w:rPr>
                <w:rFonts w:asciiTheme="minorHAnsi" w:hAnsiTheme="minorHAnsi" w:cstheme="minorHAnsi"/>
                <w:b w:val="0"/>
                <w:sz w:val="22"/>
                <w:szCs w:val="22"/>
              </w:rPr>
              <w:t xml:space="preserve"> </w:t>
            </w:r>
          </w:p>
        </w:tc>
      </w:tr>
      <w:tr w:rsidR="00E65987" w:rsidRPr="0062173B" w:rsidTr="002D2034">
        <w:tc>
          <w:tcPr>
            <w:tcW w:w="959" w:type="dxa"/>
          </w:tcPr>
          <w:p w:rsidR="00E65987" w:rsidRPr="0062173B" w:rsidRDefault="00E65987" w:rsidP="006241D2">
            <w:pPr>
              <w:pStyle w:val="BodyText"/>
              <w:jc w:val="both"/>
              <w:rPr>
                <w:rFonts w:asciiTheme="minorHAnsi" w:hAnsiTheme="minorHAnsi" w:cstheme="minorHAnsi"/>
                <w:b w:val="0"/>
                <w:sz w:val="22"/>
                <w:szCs w:val="22"/>
              </w:rPr>
            </w:pPr>
          </w:p>
        </w:tc>
        <w:tc>
          <w:tcPr>
            <w:tcW w:w="1309" w:type="dxa"/>
            <w:gridSpan w:val="2"/>
          </w:tcPr>
          <w:p w:rsidR="00E65987" w:rsidRPr="0062173B" w:rsidRDefault="00E65987" w:rsidP="006241D2">
            <w:pPr>
              <w:pStyle w:val="BodyText"/>
              <w:jc w:val="both"/>
              <w:rPr>
                <w:rFonts w:asciiTheme="minorHAnsi" w:hAnsiTheme="minorHAnsi" w:cstheme="minorHAnsi"/>
                <w:b w:val="0"/>
                <w:sz w:val="22"/>
                <w:szCs w:val="22"/>
              </w:rPr>
            </w:pPr>
          </w:p>
        </w:tc>
        <w:tc>
          <w:tcPr>
            <w:tcW w:w="630" w:type="dxa"/>
          </w:tcPr>
          <w:p w:rsidR="00E65987" w:rsidRPr="0062173B" w:rsidRDefault="00E65987" w:rsidP="006241D2">
            <w:pPr>
              <w:pStyle w:val="BodyText"/>
              <w:jc w:val="both"/>
              <w:rPr>
                <w:rFonts w:asciiTheme="minorHAnsi" w:hAnsiTheme="minorHAnsi" w:cstheme="minorHAnsi"/>
                <w:b w:val="0"/>
                <w:sz w:val="22"/>
                <w:szCs w:val="22"/>
              </w:rPr>
            </w:pPr>
          </w:p>
        </w:tc>
        <w:tc>
          <w:tcPr>
            <w:tcW w:w="7700" w:type="dxa"/>
          </w:tcPr>
          <w:p w:rsidR="00E65987" w:rsidRPr="0062173B" w:rsidRDefault="00E65987" w:rsidP="006241D2">
            <w:pPr>
              <w:pStyle w:val="BodyText"/>
              <w:jc w:val="both"/>
              <w:rPr>
                <w:rFonts w:asciiTheme="minorHAnsi" w:hAnsiTheme="minorHAnsi" w:cstheme="minorHAnsi"/>
                <w:b w:val="0"/>
                <w:sz w:val="22"/>
                <w:szCs w:val="22"/>
              </w:rPr>
            </w:pPr>
          </w:p>
        </w:tc>
      </w:tr>
      <w:tr w:rsidR="00E65987" w:rsidRPr="0062173B" w:rsidTr="002D2034">
        <w:tc>
          <w:tcPr>
            <w:tcW w:w="959" w:type="dxa"/>
          </w:tcPr>
          <w:p w:rsidR="00E65987" w:rsidRPr="0062173B" w:rsidRDefault="00E65987" w:rsidP="00E65987">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14.52</w:t>
            </w:r>
          </w:p>
        </w:tc>
        <w:tc>
          <w:tcPr>
            <w:tcW w:w="1309" w:type="dxa"/>
            <w:gridSpan w:val="2"/>
          </w:tcPr>
          <w:p w:rsidR="00E65987" w:rsidRPr="0062173B" w:rsidRDefault="00E65987"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Agreed</w:t>
            </w:r>
          </w:p>
        </w:tc>
        <w:tc>
          <w:tcPr>
            <w:tcW w:w="630" w:type="dxa"/>
          </w:tcPr>
          <w:p w:rsidR="00E65987" w:rsidRPr="0062173B" w:rsidRDefault="00E65987"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i.</w:t>
            </w:r>
          </w:p>
        </w:tc>
        <w:tc>
          <w:tcPr>
            <w:tcW w:w="7700" w:type="dxa"/>
          </w:tcPr>
          <w:p w:rsidR="00E65987" w:rsidRPr="0062173B" w:rsidRDefault="00E65987" w:rsidP="00E65987">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To approve the University Annual Financial statements for the year ended 31 July 2014.</w:t>
            </w:r>
          </w:p>
        </w:tc>
      </w:tr>
      <w:tr w:rsidR="00E65987" w:rsidRPr="0062173B" w:rsidTr="002D2034">
        <w:tc>
          <w:tcPr>
            <w:tcW w:w="959" w:type="dxa"/>
          </w:tcPr>
          <w:p w:rsidR="00E65987" w:rsidRPr="0062173B" w:rsidRDefault="00E65987" w:rsidP="00B66982">
            <w:pPr>
              <w:pStyle w:val="BodyText"/>
              <w:jc w:val="both"/>
              <w:rPr>
                <w:rFonts w:asciiTheme="minorHAnsi" w:hAnsiTheme="minorHAnsi" w:cstheme="minorHAnsi"/>
                <w:b w:val="0"/>
                <w:sz w:val="22"/>
                <w:szCs w:val="22"/>
              </w:rPr>
            </w:pPr>
          </w:p>
        </w:tc>
        <w:tc>
          <w:tcPr>
            <w:tcW w:w="1309" w:type="dxa"/>
            <w:gridSpan w:val="2"/>
          </w:tcPr>
          <w:p w:rsidR="00E65987" w:rsidRPr="0062173B" w:rsidRDefault="00E65987" w:rsidP="00B66982">
            <w:pPr>
              <w:pStyle w:val="BodyText"/>
              <w:jc w:val="both"/>
              <w:rPr>
                <w:rFonts w:asciiTheme="minorHAnsi" w:hAnsiTheme="minorHAnsi" w:cstheme="minorHAnsi"/>
                <w:b w:val="0"/>
                <w:sz w:val="22"/>
                <w:szCs w:val="22"/>
              </w:rPr>
            </w:pPr>
          </w:p>
        </w:tc>
        <w:tc>
          <w:tcPr>
            <w:tcW w:w="630" w:type="dxa"/>
          </w:tcPr>
          <w:p w:rsidR="00E65987" w:rsidRPr="0062173B" w:rsidRDefault="00E65987" w:rsidP="00B66982">
            <w:pPr>
              <w:pStyle w:val="BodyText"/>
              <w:jc w:val="both"/>
              <w:rPr>
                <w:rFonts w:asciiTheme="minorHAnsi" w:hAnsiTheme="minorHAnsi" w:cstheme="minorHAnsi"/>
                <w:b w:val="0"/>
                <w:sz w:val="22"/>
                <w:szCs w:val="22"/>
              </w:rPr>
            </w:pPr>
          </w:p>
        </w:tc>
        <w:tc>
          <w:tcPr>
            <w:tcW w:w="7700" w:type="dxa"/>
          </w:tcPr>
          <w:p w:rsidR="00E65987" w:rsidRPr="0062173B" w:rsidRDefault="00E65987" w:rsidP="00B66982">
            <w:pPr>
              <w:pStyle w:val="BodyText"/>
              <w:jc w:val="both"/>
              <w:rPr>
                <w:rFonts w:asciiTheme="minorHAnsi" w:hAnsiTheme="minorHAnsi" w:cstheme="minorHAnsi"/>
                <w:b w:val="0"/>
                <w:sz w:val="22"/>
                <w:szCs w:val="22"/>
              </w:rPr>
            </w:pPr>
          </w:p>
        </w:tc>
      </w:tr>
      <w:tr w:rsidR="00E65987" w:rsidRPr="0062173B" w:rsidTr="002D2034">
        <w:tc>
          <w:tcPr>
            <w:tcW w:w="959" w:type="dxa"/>
          </w:tcPr>
          <w:p w:rsidR="00E65987" w:rsidRPr="0062173B" w:rsidRDefault="00E65987" w:rsidP="00E65987">
            <w:pPr>
              <w:pStyle w:val="BodyText"/>
              <w:rPr>
                <w:rFonts w:asciiTheme="minorHAnsi" w:hAnsiTheme="minorHAnsi" w:cstheme="minorHAnsi"/>
                <w:b w:val="0"/>
                <w:sz w:val="22"/>
                <w:szCs w:val="22"/>
              </w:rPr>
            </w:pPr>
          </w:p>
        </w:tc>
        <w:tc>
          <w:tcPr>
            <w:tcW w:w="1309" w:type="dxa"/>
            <w:gridSpan w:val="2"/>
          </w:tcPr>
          <w:p w:rsidR="00E65987" w:rsidRPr="0062173B" w:rsidRDefault="00E65987" w:rsidP="00E65987">
            <w:pPr>
              <w:pStyle w:val="BodyText"/>
              <w:rPr>
                <w:rFonts w:asciiTheme="minorHAnsi" w:hAnsiTheme="minorHAnsi" w:cstheme="minorHAnsi"/>
                <w:b w:val="0"/>
                <w:sz w:val="22"/>
                <w:szCs w:val="22"/>
              </w:rPr>
            </w:pPr>
          </w:p>
        </w:tc>
        <w:tc>
          <w:tcPr>
            <w:tcW w:w="630" w:type="dxa"/>
          </w:tcPr>
          <w:p w:rsidR="00E65987" w:rsidRPr="0062173B" w:rsidRDefault="00E65987" w:rsidP="00E65987">
            <w:pPr>
              <w:pStyle w:val="BodyText"/>
              <w:rPr>
                <w:rFonts w:asciiTheme="minorHAnsi" w:hAnsiTheme="minorHAnsi" w:cstheme="minorHAnsi"/>
                <w:b w:val="0"/>
                <w:sz w:val="22"/>
                <w:szCs w:val="22"/>
              </w:rPr>
            </w:pPr>
            <w:r w:rsidRPr="0062173B">
              <w:rPr>
                <w:rFonts w:asciiTheme="minorHAnsi" w:hAnsiTheme="minorHAnsi" w:cstheme="minorHAnsi"/>
                <w:b w:val="0"/>
                <w:sz w:val="22"/>
                <w:szCs w:val="22"/>
              </w:rPr>
              <w:t>ii.</w:t>
            </w:r>
          </w:p>
        </w:tc>
        <w:tc>
          <w:tcPr>
            <w:tcW w:w="7700" w:type="dxa"/>
          </w:tcPr>
          <w:p w:rsidR="00E65987" w:rsidRPr="0062173B" w:rsidRDefault="00E65987" w:rsidP="00E65987">
            <w:pPr>
              <w:pStyle w:val="BodyText"/>
              <w:rPr>
                <w:rFonts w:asciiTheme="minorHAnsi" w:hAnsiTheme="minorHAnsi" w:cstheme="minorHAnsi"/>
                <w:b w:val="0"/>
                <w:sz w:val="22"/>
                <w:szCs w:val="22"/>
              </w:rPr>
            </w:pPr>
            <w:r w:rsidRPr="0062173B">
              <w:rPr>
                <w:rFonts w:asciiTheme="minorHAnsi" w:hAnsiTheme="minorHAnsi" w:cstheme="minorHAnsi"/>
                <w:b w:val="0"/>
                <w:sz w:val="22"/>
                <w:szCs w:val="22"/>
              </w:rPr>
              <w:t xml:space="preserve">To approve the letter of representation for signature by the Chief Financial Officer &amp; VP Infrastructure. </w:t>
            </w:r>
          </w:p>
        </w:tc>
      </w:tr>
      <w:tr w:rsidR="00E65987" w:rsidRPr="0062173B" w:rsidTr="002D2034">
        <w:tc>
          <w:tcPr>
            <w:tcW w:w="959" w:type="dxa"/>
          </w:tcPr>
          <w:p w:rsidR="00E65987" w:rsidRPr="0062173B" w:rsidRDefault="00E65987" w:rsidP="00E65987">
            <w:pPr>
              <w:pStyle w:val="BodyText"/>
              <w:rPr>
                <w:rFonts w:asciiTheme="minorHAnsi" w:hAnsiTheme="minorHAnsi" w:cstheme="minorHAnsi"/>
                <w:b w:val="0"/>
                <w:sz w:val="22"/>
                <w:szCs w:val="22"/>
              </w:rPr>
            </w:pPr>
          </w:p>
        </w:tc>
        <w:tc>
          <w:tcPr>
            <w:tcW w:w="1309" w:type="dxa"/>
            <w:gridSpan w:val="2"/>
          </w:tcPr>
          <w:p w:rsidR="00E65987" w:rsidRPr="0062173B" w:rsidRDefault="00E65987" w:rsidP="00E65987">
            <w:pPr>
              <w:pStyle w:val="BodyText"/>
              <w:rPr>
                <w:rFonts w:asciiTheme="minorHAnsi" w:hAnsiTheme="minorHAnsi" w:cstheme="minorHAnsi"/>
                <w:b w:val="0"/>
                <w:sz w:val="22"/>
                <w:szCs w:val="22"/>
              </w:rPr>
            </w:pPr>
          </w:p>
        </w:tc>
        <w:tc>
          <w:tcPr>
            <w:tcW w:w="630" w:type="dxa"/>
          </w:tcPr>
          <w:p w:rsidR="00E65987" w:rsidRPr="0062173B" w:rsidRDefault="00E65987" w:rsidP="00E65987">
            <w:pPr>
              <w:pStyle w:val="BodyText"/>
              <w:rPr>
                <w:rFonts w:asciiTheme="minorHAnsi" w:hAnsiTheme="minorHAnsi" w:cstheme="minorHAnsi"/>
                <w:b w:val="0"/>
                <w:sz w:val="22"/>
                <w:szCs w:val="22"/>
              </w:rPr>
            </w:pPr>
          </w:p>
        </w:tc>
        <w:tc>
          <w:tcPr>
            <w:tcW w:w="7700" w:type="dxa"/>
          </w:tcPr>
          <w:p w:rsidR="00E65987" w:rsidRPr="0062173B" w:rsidRDefault="00E65987" w:rsidP="00E65987">
            <w:pPr>
              <w:pStyle w:val="BodyText"/>
              <w:rPr>
                <w:rFonts w:asciiTheme="minorHAnsi" w:hAnsiTheme="minorHAnsi" w:cstheme="minorHAnsi"/>
                <w:b w:val="0"/>
                <w:sz w:val="22"/>
                <w:szCs w:val="22"/>
              </w:rPr>
            </w:pPr>
          </w:p>
        </w:tc>
      </w:tr>
      <w:tr w:rsidR="00E65987" w:rsidRPr="0062173B" w:rsidTr="002D2034">
        <w:tc>
          <w:tcPr>
            <w:tcW w:w="959" w:type="dxa"/>
          </w:tcPr>
          <w:p w:rsidR="00E65987" w:rsidRPr="0062173B" w:rsidRDefault="00E65987" w:rsidP="00E65987">
            <w:pPr>
              <w:pStyle w:val="BodyText"/>
              <w:rPr>
                <w:rFonts w:asciiTheme="minorHAnsi" w:hAnsiTheme="minorHAnsi" w:cstheme="minorHAnsi"/>
                <w:b w:val="0"/>
                <w:sz w:val="22"/>
                <w:szCs w:val="22"/>
              </w:rPr>
            </w:pPr>
          </w:p>
        </w:tc>
        <w:tc>
          <w:tcPr>
            <w:tcW w:w="1309" w:type="dxa"/>
            <w:gridSpan w:val="2"/>
          </w:tcPr>
          <w:p w:rsidR="00E65987" w:rsidRPr="0062173B" w:rsidRDefault="00E65987" w:rsidP="00E65987">
            <w:pPr>
              <w:pStyle w:val="BodyText"/>
              <w:rPr>
                <w:rFonts w:asciiTheme="minorHAnsi" w:hAnsiTheme="minorHAnsi" w:cstheme="minorHAnsi"/>
                <w:b w:val="0"/>
                <w:sz w:val="22"/>
                <w:szCs w:val="22"/>
              </w:rPr>
            </w:pPr>
          </w:p>
        </w:tc>
        <w:tc>
          <w:tcPr>
            <w:tcW w:w="630" w:type="dxa"/>
          </w:tcPr>
          <w:p w:rsidR="00E65987" w:rsidRPr="0062173B" w:rsidRDefault="00E65987" w:rsidP="00E65987">
            <w:pPr>
              <w:pStyle w:val="BodyText"/>
              <w:rPr>
                <w:rFonts w:asciiTheme="minorHAnsi" w:hAnsiTheme="minorHAnsi" w:cstheme="minorHAnsi"/>
                <w:b w:val="0"/>
                <w:sz w:val="22"/>
                <w:szCs w:val="22"/>
              </w:rPr>
            </w:pPr>
            <w:r w:rsidRPr="0062173B">
              <w:rPr>
                <w:rFonts w:asciiTheme="minorHAnsi" w:hAnsiTheme="minorHAnsi" w:cstheme="minorHAnsi"/>
                <w:b w:val="0"/>
                <w:sz w:val="22"/>
                <w:szCs w:val="22"/>
              </w:rPr>
              <w:t>iii.</w:t>
            </w:r>
          </w:p>
        </w:tc>
        <w:tc>
          <w:tcPr>
            <w:tcW w:w="7700" w:type="dxa"/>
          </w:tcPr>
          <w:p w:rsidR="00E65987" w:rsidRPr="0062173B" w:rsidRDefault="00E65987" w:rsidP="00E65987">
            <w:pPr>
              <w:pStyle w:val="BodyText"/>
              <w:rPr>
                <w:rFonts w:asciiTheme="minorHAnsi" w:hAnsiTheme="minorHAnsi" w:cstheme="minorHAnsi"/>
                <w:b w:val="0"/>
                <w:sz w:val="22"/>
                <w:szCs w:val="22"/>
              </w:rPr>
            </w:pPr>
            <w:r w:rsidRPr="0062173B">
              <w:rPr>
                <w:rFonts w:asciiTheme="minorHAnsi" w:hAnsiTheme="minorHAnsi" w:cstheme="minorHAnsi"/>
                <w:b w:val="0"/>
                <w:sz w:val="22"/>
                <w:szCs w:val="22"/>
              </w:rPr>
              <w:t>To thank the Chief Financial Officer and his team for their work in preparing the Annual Financial Statements.</w:t>
            </w:r>
          </w:p>
        </w:tc>
      </w:tr>
    </w:tbl>
    <w:p w:rsidR="00503C6C" w:rsidRPr="0062173B" w:rsidRDefault="00503C6C" w:rsidP="00754C04">
      <w:pPr>
        <w:pStyle w:val="NoSpacing"/>
        <w:jc w:val="both"/>
        <w:rPr>
          <w:rFonts w:asciiTheme="minorHAnsi" w:hAnsiTheme="minorHAnsi" w:cstheme="minorHAnsi"/>
          <w:b/>
        </w:rPr>
      </w:pPr>
    </w:p>
    <w:p w:rsidR="005C4D25" w:rsidRPr="0062173B" w:rsidRDefault="00CD0D80" w:rsidP="00754C04">
      <w:pPr>
        <w:pStyle w:val="NoSpacing"/>
        <w:jc w:val="both"/>
        <w:rPr>
          <w:rFonts w:asciiTheme="minorHAnsi" w:hAnsiTheme="minorHAnsi" w:cstheme="minorHAnsi"/>
          <w:b/>
        </w:rPr>
      </w:pPr>
      <w:r w:rsidRPr="0062173B">
        <w:rPr>
          <w:rFonts w:asciiTheme="minorHAnsi" w:hAnsiTheme="minorHAnsi" w:cstheme="minorHAnsi"/>
          <w:b/>
        </w:rPr>
        <w:t xml:space="preserve">Bank </w:t>
      </w:r>
      <w:r w:rsidR="00F20F74" w:rsidRPr="0062173B">
        <w:rPr>
          <w:rFonts w:asciiTheme="minorHAnsi" w:hAnsiTheme="minorHAnsi" w:cstheme="minorHAnsi"/>
          <w:b/>
        </w:rPr>
        <w:t>Financial Covenants</w:t>
      </w:r>
    </w:p>
    <w:p w:rsidR="00F20F74" w:rsidRPr="0062173B" w:rsidRDefault="00F20F74"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F20F74" w:rsidRPr="0062173B" w:rsidTr="002D2034">
        <w:tc>
          <w:tcPr>
            <w:tcW w:w="959" w:type="dxa"/>
          </w:tcPr>
          <w:p w:rsidR="00F20F74" w:rsidRPr="0062173B" w:rsidRDefault="00F20F74" w:rsidP="00E65987">
            <w:pPr>
              <w:pStyle w:val="NoSpacing"/>
              <w:jc w:val="both"/>
              <w:rPr>
                <w:rFonts w:asciiTheme="minorHAnsi" w:hAnsiTheme="minorHAnsi" w:cstheme="minorHAnsi"/>
              </w:rPr>
            </w:pPr>
            <w:r w:rsidRPr="0062173B">
              <w:rPr>
                <w:rFonts w:asciiTheme="minorHAnsi" w:hAnsiTheme="minorHAnsi" w:cstheme="minorHAnsi"/>
              </w:rPr>
              <w:t>1</w:t>
            </w:r>
            <w:r w:rsidR="00503C6C" w:rsidRPr="0062173B">
              <w:rPr>
                <w:rFonts w:asciiTheme="minorHAnsi" w:hAnsiTheme="minorHAnsi" w:cstheme="minorHAnsi"/>
              </w:rPr>
              <w:t>4</w:t>
            </w:r>
            <w:r w:rsidRPr="0062173B">
              <w:rPr>
                <w:rFonts w:asciiTheme="minorHAnsi" w:hAnsiTheme="minorHAnsi" w:cstheme="minorHAnsi"/>
              </w:rPr>
              <w:t>.</w:t>
            </w:r>
            <w:r w:rsidR="00CF147F" w:rsidRPr="0062173B">
              <w:rPr>
                <w:rFonts w:asciiTheme="minorHAnsi" w:hAnsiTheme="minorHAnsi" w:cstheme="minorHAnsi"/>
              </w:rPr>
              <w:t>5</w:t>
            </w:r>
            <w:r w:rsidR="00E65987" w:rsidRPr="0062173B">
              <w:rPr>
                <w:rFonts w:asciiTheme="minorHAnsi" w:hAnsiTheme="minorHAnsi" w:cstheme="minorHAnsi"/>
              </w:rPr>
              <w:t>3</w:t>
            </w:r>
          </w:p>
        </w:tc>
        <w:tc>
          <w:tcPr>
            <w:tcW w:w="1276"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Considered</w:t>
            </w:r>
          </w:p>
        </w:tc>
        <w:tc>
          <w:tcPr>
            <w:tcW w:w="708"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F20F74" w:rsidRPr="0062173B" w:rsidRDefault="00F20F74" w:rsidP="00E65987">
            <w:pPr>
              <w:pStyle w:val="NoSpacing"/>
              <w:jc w:val="both"/>
              <w:rPr>
                <w:rFonts w:asciiTheme="minorHAnsi" w:hAnsiTheme="minorHAnsi" w:cstheme="minorHAnsi"/>
              </w:rPr>
            </w:pPr>
            <w:r w:rsidRPr="0062173B">
              <w:rPr>
                <w:rFonts w:asciiTheme="minorHAnsi" w:hAnsiTheme="minorHAnsi" w:cstheme="minorHAnsi"/>
              </w:rPr>
              <w:t>Document UC1</w:t>
            </w:r>
            <w:r w:rsidR="00E65987" w:rsidRPr="0062173B">
              <w:rPr>
                <w:rFonts w:asciiTheme="minorHAnsi" w:hAnsiTheme="minorHAnsi" w:cstheme="minorHAnsi"/>
              </w:rPr>
              <w:t>4</w:t>
            </w:r>
            <w:r w:rsidRPr="0062173B">
              <w:rPr>
                <w:rFonts w:asciiTheme="minorHAnsi" w:hAnsiTheme="minorHAnsi" w:cstheme="minorHAnsi"/>
              </w:rPr>
              <w:t>/</w:t>
            </w:r>
            <w:r w:rsidR="00CD0D80" w:rsidRPr="0062173B">
              <w:rPr>
                <w:rFonts w:asciiTheme="minorHAnsi" w:hAnsiTheme="minorHAnsi" w:cstheme="minorHAnsi"/>
              </w:rPr>
              <w:t>2</w:t>
            </w:r>
            <w:r w:rsidR="00E65987" w:rsidRPr="0062173B">
              <w:rPr>
                <w:rFonts w:asciiTheme="minorHAnsi" w:hAnsiTheme="minorHAnsi" w:cstheme="minorHAnsi"/>
              </w:rPr>
              <w:t>6</w:t>
            </w:r>
            <w:r w:rsidRPr="0062173B">
              <w:rPr>
                <w:rFonts w:asciiTheme="minorHAnsi" w:hAnsiTheme="minorHAnsi" w:cstheme="minorHAnsi"/>
              </w:rPr>
              <w:t xml:space="preserve"> a Bank Covenant Compliance Certificate confirming that the University was compliant with the financial covenants set by </w:t>
            </w:r>
            <w:r w:rsidR="007B7484" w:rsidRPr="0062173B">
              <w:rPr>
                <w:rFonts w:asciiTheme="minorHAnsi" w:hAnsiTheme="minorHAnsi" w:cstheme="minorHAnsi"/>
              </w:rPr>
              <w:t>Lloyds</w:t>
            </w:r>
            <w:r w:rsidRPr="0062173B">
              <w:rPr>
                <w:rFonts w:asciiTheme="minorHAnsi" w:hAnsiTheme="minorHAnsi" w:cstheme="minorHAnsi"/>
              </w:rPr>
              <w:t xml:space="preserve"> Banking Group </w:t>
            </w:r>
            <w:r w:rsidRPr="0062173B">
              <w:rPr>
                <w:rFonts w:asciiTheme="minorHAnsi" w:hAnsiTheme="minorHAnsi" w:cstheme="minorHAnsi"/>
              </w:rPr>
              <w:lastRenderedPageBreak/>
              <w:t xml:space="preserve">as part of the £10m loan facility agreed in February 2012. </w:t>
            </w:r>
          </w:p>
        </w:tc>
      </w:tr>
      <w:tr w:rsidR="00F20F74" w:rsidRPr="0062173B" w:rsidTr="002D2034">
        <w:tc>
          <w:tcPr>
            <w:tcW w:w="959" w:type="dxa"/>
          </w:tcPr>
          <w:p w:rsidR="00F20F74" w:rsidRPr="0062173B" w:rsidRDefault="00F20F74" w:rsidP="00754C04">
            <w:pPr>
              <w:pStyle w:val="NoSpacing"/>
              <w:jc w:val="both"/>
              <w:rPr>
                <w:rFonts w:asciiTheme="minorHAnsi" w:hAnsiTheme="minorHAnsi" w:cstheme="minorHAnsi"/>
              </w:rPr>
            </w:pPr>
          </w:p>
        </w:tc>
        <w:tc>
          <w:tcPr>
            <w:tcW w:w="1276" w:type="dxa"/>
          </w:tcPr>
          <w:p w:rsidR="00F20F74" w:rsidRPr="0062173B" w:rsidRDefault="00F20F74" w:rsidP="00754C04">
            <w:pPr>
              <w:pStyle w:val="NoSpacing"/>
              <w:jc w:val="both"/>
              <w:rPr>
                <w:rFonts w:asciiTheme="minorHAnsi" w:hAnsiTheme="minorHAnsi" w:cstheme="minorHAnsi"/>
              </w:rPr>
            </w:pPr>
          </w:p>
        </w:tc>
        <w:tc>
          <w:tcPr>
            <w:tcW w:w="708" w:type="dxa"/>
          </w:tcPr>
          <w:p w:rsidR="00F20F74" w:rsidRPr="0062173B" w:rsidRDefault="00F20F74" w:rsidP="00754C04">
            <w:pPr>
              <w:pStyle w:val="NoSpacing"/>
              <w:jc w:val="both"/>
              <w:rPr>
                <w:rFonts w:asciiTheme="minorHAnsi" w:hAnsiTheme="minorHAnsi" w:cstheme="minorHAnsi"/>
              </w:rPr>
            </w:pPr>
          </w:p>
        </w:tc>
        <w:tc>
          <w:tcPr>
            <w:tcW w:w="7655" w:type="dxa"/>
          </w:tcPr>
          <w:p w:rsidR="00F20F74" w:rsidRPr="0062173B" w:rsidRDefault="00F20F74" w:rsidP="00754C04">
            <w:pPr>
              <w:pStyle w:val="NoSpacing"/>
              <w:jc w:val="both"/>
              <w:rPr>
                <w:rFonts w:asciiTheme="minorHAnsi" w:hAnsiTheme="minorHAnsi" w:cstheme="minorHAnsi"/>
              </w:rPr>
            </w:pPr>
          </w:p>
        </w:tc>
      </w:tr>
      <w:tr w:rsidR="00F20F74" w:rsidRPr="0062173B" w:rsidTr="002D2034">
        <w:tc>
          <w:tcPr>
            <w:tcW w:w="959" w:type="dxa"/>
          </w:tcPr>
          <w:p w:rsidR="00F20F74" w:rsidRPr="0062173B" w:rsidRDefault="00F20F74" w:rsidP="00E65987">
            <w:pPr>
              <w:pStyle w:val="NoSpacing"/>
              <w:jc w:val="both"/>
              <w:rPr>
                <w:rFonts w:asciiTheme="minorHAnsi" w:hAnsiTheme="minorHAnsi" w:cstheme="minorHAnsi"/>
              </w:rPr>
            </w:pPr>
            <w:r w:rsidRPr="0062173B">
              <w:rPr>
                <w:rFonts w:asciiTheme="minorHAnsi" w:hAnsiTheme="minorHAnsi" w:cstheme="minorHAnsi"/>
              </w:rPr>
              <w:t>1</w:t>
            </w:r>
            <w:r w:rsidR="00E65987" w:rsidRPr="0062173B">
              <w:rPr>
                <w:rFonts w:asciiTheme="minorHAnsi" w:hAnsiTheme="minorHAnsi" w:cstheme="minorHAnsi"/>
              </w:rPr>
              <w:t>4</w:t>
            </w:r>
            <w:r w:rsidRPr="0062173B">
              <w:rPr>
                <w:rFonts w:asciiTheme="minorHAnsi" w:hAnsiTheme="minorHAnsi" w:cstheme="minorHAnsi"/>
              </w:rPr>
              <w:t>.</w:t>
            </w:r>
            <w:r w:rsidR="00CD0D80" w:rsidRPr="0062173B">
              <w:rPr>
                <w:rFonts w:asciiTheme="minorHAnsi" w:hAnsiTheme="minorHAnsi" w:cstheme="minorHAnsi"/>
              </w:rPr>
              <w:t>5</w:t>
            </w:r>
            <w:r w:rsidR="00E65987" w:rsidRPr="0062173B">
              <w:rPr>
                <w:rFonts w:asciiTheme="minorHAnsi" w:hAnsiTheme="minorHAnsi" w:cstheme="minorHAnsi"/>
              </w:rPr>
              <w:t>4</w:t>
            </w:r>
          </w:p>
        </w:tc>
        <w:tc>
          <w:tcPr>
            <w:tcW w:w="1276"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F20F74" w:rsidRPr="0062173B" w:rsidRDefault="00522663" w:rsidP="00522663">
            <w:pPr>
              <w:pStyle w:val="NoSpacing"/>
              <w:jc w:val="both"/>
              <w:rPr>
                <w:rFonts w:asciiTheme="minorHAnsi" w:hAnsiTheme="minorHAnsi" w:cstheme="minorHAnsi"/>
              </w:rPr>
            </w:pPr>
            <w:r w:rsidRPr="0062173B">
              <w:rPr>
                <w:rFonts w:asciiTheme="minorHAnsi" w:hAnsiTheme="minorHAnsi" w:cstheme="minorHAnsi"/>
              </w:rPr>
              <w:t>T</w:t>
            </w:r>
            <w:r w:rsidR="00F20F74" w:rsidRPr="0062173B">
              <w:rPr>
                <w:rFonts w:asciiTheme="minorHAnsi" w:hAnsiTheme="minorHAnsi" w:cstheme="minorHAnsi"/>
              </w:rPr>
              <w:t>here had been no borrowings against the loan</w:t>
            </w:r>
            <w:r w:rsidRPr="0062173B">
              <w:rPr>
                <w:rFonts w:asciiTheme="minorHAnsi" w:hAnsiTheme="minorHAnsi" w:cstheme="minorHAnsi"/>
              </w:rPr>
              <w:t xml:space="preserve"> to date.  It was not expected to draw down funding until January 2015.</w:t>
            </w:r>
            <w:r w:rsidR="00F20F74" w:rsidRPr="0062173B">
              <w:rPr>
                <w:rFonts w:asciiTheme="minorHAnsi" w:hAnsiTheme="minorHAnsi" w:cstheme="minorHAnsi"/>
              </w:rPr>
              <w:t xml:space="preserve"> </w:t>
            </w:r>
            <w:r w:rsidRPr="0062173B">
              <w:rPr>
                <w:rFonts w:asciiTheme="minorHAnsi" w:hAnsiTheme="minorHAnsi" w:cstheme="minorHAnsi"/>
              </w:rPr>
              <w:t xml:space="preserve"> </w:t>
            </w:r>
          </w:p>
        </w:tc>
      </w:tr>
      <w:tr w:rsidR="00CD0D80" w:rsidRPr="0062173B" w:rsidTr="002D2034">
        <w:tc>
          <w:tcPr>
            <w:tcW w:w="959" w:type="dxa"/>
          </w:tcPr>
          <w:p w:rsidR="00CD0D80" w:rsidRPr="0062173B" w:rsidRDefault="00CD0D80" w:rsidP="00CD0D80">
            <w:pPr>
              <w:pStyle w:val="NoSpacing"/>
              <w:jc w:val="both"/>
              <w:rPr>
                <w:rFonts w:asciiTheme="minorHAnsi" w:hAnsiTheme="minorHAnsi" w:cstheme="minorHAnsi"/>
              </w:rPr>
            </w:pPr>
          </w:p>
        </w:tc>
        <w:tc>
          <w:tcPr>
            <w:tcW w:w="1276" w:type="dxa"/>
          </w:tcPr>
          <w:p w:rsidR="00CD0D80" w:rsidRPr="0062173B" w:rsidRDefault="00CD0D80" w:rsidP="00754C04">
            <w:pPr>
              <w:pStyle w:val="NoSpacing"/>
              <w:jc w:val="both"/>
              <w:rPr>
                <w:rFonts w:asciiTheme="minorHAnsi" w:hAnsiTheme="minorHAnsi" w:cstheme="minorHAnsi"/>
              </w:rPr>
            </w:pPr>
          </w:p>
        </w:tc>
        <w:tc>
          <w:tcPr>
            <w:tcW w:w="708" w:type="dxa"/>
          </w:tcPr>
          <w:p w:rsidR="00CD0D80" w:rsidRPr="0062173B" w:rsidRDefault="00CD0D80" w:rsidP="00754C04">
            <w:pPr>
              <w:pStyle w:val="NoSpacing"/>
              <w:jc w:val="both"/>
              <w:rPr>
                <w:rFonts w:asciiTheme="minorHAnsi" w:hAnsiTheme="minorHAnsi" w:cstheme="minorHAnsi"/>
              </w:rPr>
            </w:pPr>
          </w:p>
        </w:tc>
        <w:tc>
          <w:tcPr>
            <w:tcW w:w="7655" w:type="dxa"/>
          </w:tcPr>
          <w:p w:rsidR="00CD0D80" w:rsidRPr="0062173B" w:rsidRDefault="00CD0D80" w:rsidP="00754C04">
            <w:pPr>
              <w:pStyle w:val="NoSpacing"/>
              <w:jc w:val="both"/>
              <w:rPr>
                <w:rFonts w:asciiTheme="minorHAnsi" w:hAnsiTheme="minorHAnsi" w:cstheme="minorHAnsi"/>
              </w:rPr>
            </w:pPr>
          </w:p>
        </w:tc>
      </w:tr>
      <w:tr w:rsidR="00F20F74" w:rsidRPr="0062173B" w:rsidTr="002D2034">
        <w:tc>
          <w:tcPr>
            <w:tcW w:w="959" w:type="dxa"/>
          </w:tcPr>
          <w:p w:rsidR="00F20F74" w:rsidRPr="0062173B" w:rsidRDefault="00F20F74" w:rsidP="00754C04">
            <w:pPr>
              <w:pStyle w:val="NoSpacing"/>
              <w:jc w:val="both"/>
              <w:rPr>
                <w:rFonts w:asciiTheme="minorHAnsi" w:hAnsiTheme="minorHAnsi" w:cstheme="minorHAnsi"/>
              </w:rPr>
            </w:pPr>
          </w:p>
        </w:tc>
        <w:tc>
          <w:tcPr>
            <w:tcW w:w="1276" w:type="dxa"/>
          </w:tcPr>
          <w:p w:rsidR="00F20F74" w:rsidRPr="0062173B" w:rsidRDefault="00F20F74" w:rsidP="00754C04">
            <w:pPr>
              <w:pStyle w:val="NoSpacing"/>
              <w:jc w:val="both"/>
              <w:rPr>
                <w:rFonts w:asciiTheme="minorHAnsi" w:hAnsiTheme="minorHAnsi" w:cstheme="minorHAnsi"/>
              </w:rPr>
            </w:pPr>
          </w:p>
        </w:tc>
        <w:tc>
          <w:tcPr>
            <w:tcW w:w="708"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The Bank Covenant Compliance Certificate would be submitted to Court on an annual basis throughout the duration of the loan</w:t>
            </w:r>
            <w:r w:rsidR="00986137" w:rsidRPr="0062173B">
              <w:rPr>
                <w:rFonts w:asciiTheme="minorHAnsi" w:hAnsiTheme="minorHAnsi" w:cstheme="minorHAnsi"/>
              </w:rPr>
              <w:t>.</w:t>
            </w:r>
          </w:p>
        </w:tc>
      </w:tr>
      <w:tr w:rsidR="00F20F74" w:rsidRPr="0062173B" w:rsidTr="002D2034">
        <w:tc>
          <w:tcPr>
            <w:tcW w:w="959" w:type="dxa"/>
          </w:tcPr>
          <w:p w:rsidR="00F20F74" w:rsidRPr="0062173B" w:rsidRDefault="00F20F74" w:rsidP="00754C04">
            <w:pPr>
              <w:pStyle w:val="NoSpacing"/>
              <w:jc w:val="both"/>
              <w:rPr>
                <w:rFonts w:asciiTheme="minorHAnsi" w:hAnsiTheme="minorHAnsi" w:cstheme="minorHAnsi"/>
              </w:rPr>
            </w:pPr>
          </w:p>
        </w:tc>
        <w:tc>
          <w:tcPr>
            <w:tcW w:w="1276" w:type="dxa"/>
          </w:tcPr>
          <w:p w:rsidR="00F20F74" w:rsidRPr="0062173B" w:rsidRDefault="00F20F74" w:rsidP="00754C04">
            <w:pPr>
              <w:pStyle w:val="NoSpacing"/>
              <w:jc w:val="both"/>
              <w:rPr>
                <w:rFonts w:asciiTheme="minorHAnsi" w:hAnsiTheme="minorHAnsi" w:cstheme="minorHAnsi"/>
              </w:rPr>
            </w:pPr>
          </w:p>
        </w:tc>
        <w:tc>
          <w:tcPr>
            <w:tcW w:w="708" w:type="dxa"/>
          </w:tcPr>
          <w:p w:rsidR="00F20F74" w:rsidRPr="0062173B" w:rsidRDefault="00F20F74" w:rsidP="00754C04">
            <w:pPr>
              <w:pStyle w:val="NoSpacing"/>
              <w:jc w:val="both"/>
              <w:rPr>
                <w:rFonts w:asciiTheme="minorHAnsi" w:hAnsiTheme="minorHAnsi" w:cstheme="minorHAnsi"/>
              </w:rPr>
            </w:pPr>
          </w:p>
        </w:tc>
        <w:tc>
          <w:tcPr>
            <w:tcW w:w="7655" w:type="dxa"/>
          </w:tcPr>
          <w:p w:rsidR="00F20F74" w:rsidRPr="0062173B" w:rsidRDefault="00F20F74" w:rsidP="00754C04">
            <w:pPr>
              <w:pStyle w:val="NoSpacing"/>
              <w:jc w:val="both"/>
              <w:rPr>
                <w:rFonts w:asciiTheme="minorHAnsi" w:hAnsiTheme="minorHAnsi" w:cstheme="minorHAnsi"/>
              </w:rPr>
            </w:pPr>
          </w:p>
        </w:tc>
      </w:tr>
      <w:tr w:rsidR="00F20F74" w:rsidRPr="0062173B" w:rsidTr="002D2034">
        <w:tc>
          <w:tcPr>
            <w:tcW w:w="959" w:type="dxa"/>
          </w:tcPr>
          <w:p w:rsidR="00F20F74" w:rsidRPr="0062173B" w:rsidRDefault="00F20F74" w:rsidP="00E65987">
            <w:pPr>
              <w:pStyle w:val="NoSpacing"/>
              <w:jc w:val="both"/>
              <w:rPr>
                <w:rFonts w:asciiTheme="minorHAnsi" w:hAnsiTheme="minorHAnsi" w:cstheme="minorHAnsi"/>
              </w:rPr>
            </w:pPr>
            <w:r w:rsidRPr="0062173B">
              <w:rPr>
                <w:rFonts w:asciiTheme="minorHAnsi" w:hAnsiTheme="minorHAnsi" w:cstheme="minorHAnsi"/>
              </w:rPr>
              <w:t>1</w:t>
            </w:r>
            <w:r w:rsidR="00E65987" w:rsidRPr="0062173B">
              <w:rPr>
                <w:rFonts w:asciiTheme="minorHAnsi" w:hAnsiTheme="minorHAnsi" w:cstheme="minorHAnsi"/>
              </w:rPr>
              <w:t>4</w:t>
            </w:r>
            <w:r w:rsidRPr="0062173B">
              <w:rPr>
                <w:rFonts w:asciiTheme="minorHAnsi" w:hAnsiTheme="minorHAnsi" w:cstheme="minorHAnsi"/>
              </w:rPr>
              <w:t>.</w:t>
            </w:r>
            <w:r w:rsidR="00CD0D80" w:rsidRPr="0062173B">
              <w:rPr>
                <w:rFonts w:asciiTheme="minorHAnsi" w:hAnsiTheme="minorHAnsi" w:cstheme="minorHAnsi"/>
              </w:rPr>
              <w:t>5</w:t>
            </w:r>
            <w:r w:rsidR="00E65987" w:rsidRPr="0062173B">
              <w:rPr>
                <w:rFonts w:asciiTheme="minorHAnsi" w:hAnsiTheme="minorHAnsi" w:cstheme="minorHAnsi"/>
              </w:rPr>
              <w:t>5</w:t>
            </w:r>
          </w:p>
        </w:tc>
        <w:tc>
          <w:tcPr>
            <w:tcW w:w="1276"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F20F74" w:rsidRPr="0062173B" w:rsidRDefault="00F20F74" w:rsidP="00754C04">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F20F74" w:rsidRPr="0062173B" w:rsidRDefault="00F20F74" w:rsidP="00CD0D80">
            <w:pPr>
              <w:pStyle w:val="NoSpacing"/>
              <w:jc w:val="both"/>
              <w:rPr>
                <w:rFonts w:asciiTheme="minorHAnsi" w:hAnsiTheme="minorHAnsi" w:cstheme="minorHAnsi"/>
              </w:rPr>
            </w:pPr>
            <w:r w:rsidRPr="0062173B">
              <w:rPr>
                <w:rFonts w:asciiTheme="minorHAnsi" w:hAnsiTheme="minorHAnsi" w:cstheme="minorHAnsi"/>
              </w:rPr>
              <w:t xml:space="preserve">That the Bank Covenant Compliance Certificate be signed by the </w:t>
            </w:r>
            <w:r w:rsidR="00CD0D80" w:rsidRPr="0062173B">
              <w:rPr>
                <w:rFonts w:asciiTheme="minorHAnsi" w:hAnsiTheme="minorHAnsi" w:cstheme="minorHAnsi"/>
              </w:rPr>
              <w:t>Chief Financial Officer</w:t>
            </w:r>
            <w:r w:rsidRPr="0062173B">
              <w:rPr>
                <w:rFonts w:asciiTheme="minorHAnsi" w:hAnsiTheme="minorHAnsi" w:cstheme="minorHAnsi"/>
              </w:rPr>
              <w:t xml:space="preserve"> </w:t>
            </w:r>
            <w:r w:rsidR="00E65987" w:rsidRPr="0062173B">
              <w:rPr>
                <w:rFonts w:asciiTheme="minorHAnsi" w:hAnsiTheme="minorHAnsi" w:cstheme="minorHAnsi"/>
              </w:rPr>
              <w:t xml:space="preserve"> &amp; VP Infrastructure </w:t>
            </w:r>
            <w:r w:rsidRPr="0062173B">
              <w:rPr>
                <w:rFonts w:asciiTheme="minorHAnsi" w:hAnsiTheme="minorHAnsi" w:cstheme="minorHAnsi"/>
              </w:rPr>
              <w:t>for onward submission with the Annual Financial Statements, to Lloyds Banking Group.</w:t>
            </w:r>
          </w:p>
        </w:tc>
      </w:tr>
    </w:tbl>
    <w:p w:rsidR="00F20F74" w:rsidRPr="0062173B" w:rsidRDefault="00F20F74" w:rsidP="00754C04">
      <w:pPr>
        <w:pStyle w:val="NoSpacing"/>
        <w:jc w:val="both"/>
        <w:rPr>
          <w:rFonts w:asciiTheme="minorHAnsi" w:hAnsiTheme="minorHAnsi" w:cstheme="minorHAnsi"/>
          <w:b/>
        </w:rPr>
      </w:pPr>
    </w:p>
    <w:p w:rsidR="00E32B97" w:rsidRPr="0062173B" w:rsidRDefault="00E32B97" w:rsidP="00754C04">
      <w:pPr>
        <w:pStyle w:val="NoSpacing"/>
        <w:jc w:val="both"/>
        <w:rPr>
          <w:rFonts w:asciiTheme="minorHAnsi" w:hAnsiTheme="minorHAnsi" w:cstheme="minorHAnsi"/>
          <w:b/>
        </w:rPr>
      </w:pPr>
      <w:r w:rsidRPr="0062173B">
        <w:rPr>
          <w:rFonts w:asciiTheme="minorHAnsi" w:hAnsiTheme="minorHAnsi" w:cstheme="minorHAnsi"/>
          <w:b/>
        </w:rPr>
        <w:t>Letter of Support for GCU NY Inc</w:t>
      </w:r>
    </w:p>
    <w:p w:rsidR="00E32B97" w:rsidRPr="0062173B" w:rsidRDefault="00E32B97"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E32B97" w:rsidRPr="0062173B" w:rsidTr="002D2034">
        <w:tc>
          <w:tcPr>
            <w:tcW w:w="959" w:type="dxa"/>
          </w:tcPr>
          <w:p w:rsidR="00E32B97" w:rsidRPr="0062173B" w:rsidRDefault="00E32B97" w:rsidP="00B66982">
            <w:pPr>
              <w:pStyle w:val="NoSpacing"/>
              <w:jc w:val="both"/>
              <w:rPr>
                <w:rFonts w:asciiTheme="minorHAnsi" w:hAnsiTheme="minorHAnsi" w:cstheme="minorHAnsi"/>
              </w:rPr>
            </w:pPr>
            <w:r w:rsidRPr="0062173B">
              <w:rPr>
                <w:rFonts w:asciiTheme="minorHAnsi" w:hAnsiTheme="minorHAnsi" w:cstheme="minorHAnsi"/>
              </w:rPr>
              <w:t>14.56</w:t>
            </w:r>
          </w:p>
        </w:tc>
        <w:tc>
          <w:tcPr>
            <w:tcW w:w="1276" w:type="dxa"/>
          </w:tcPr>
          <w:p w:rsidR="00E32B97" w:rsidRPr="0062173B" w:rsidRDefault="00E32B97" w:rsidP="00B66982">
            <w:pPr>
              <w:pStyle w:val="NoSpacing"/>
              <w:jc w:val="both"/>
              <w:rPr>
                <w:rFonts w:asciiTheme="minorHAnsi" w:hAnsiTheme="minorHAnsi" w:cstheme="minorHAnsi"/>
              </w:rPr>
            </w:pPr>
            <w:r w:rsidRPr="0062173B">
              <w:rPr>
                <w:rFonts w:asciiTheme="minorHAnsi" w:hAnsiTheme="minorHAnsi" w:cstheme="minorHAnsi"/>
              </w:rPr>
              <w:t>Considered</w:t>
            </w:r>
          </w:p>
        </w:tc>
        <w:tc>
          <w:tcPr>
            <w:tcW w:w="708" w:type="dxa"/>
          </w:tcPr>
          <w:p w:rsidR="00E32B97" w:rsidRPr="0062173B" w:rsidRDefault="00E32B97" w:rsidP="00B66982">
            <w:pPr>
              <w:pStyle w:val="NoSpacing"/>
              <w:jc w:val="both"/>
              <w:rPr>
                <w:rFonts w:asciiTheme="minorHAnsi" w:hAnsiTheme="minorHAnsi" w:cstheme="minorHAnsi"/>
              </w:rPr>
            </w:pPr>
          </w:p>
        </w:tc>
        <w:tc>
          <w:tcPr>
            <w:tcW w:w="7655" w:type="dxa"/>
          </w:tcPr>
          <w:p w:rsidR="00E32B97" w:rsidRPr="0062173B" w:rsidRDefault="00E32B97" w:rsidP="00E32B97">
            <w:pPr>
              <w:pStyle w:val="NoSpacing"/>
              <w:jc w:val="both"/>
              <w:rPr>
                <w:rFonts w:asciiTheme="minorHAnsi" w:hAnsiTheme="minorHAnsi" w:cstheme="minorHAnsi"/>
              </w:rPr>
            </w:pPr>
            <w:r w:rsidRPr="0062173B">
              <w:rPr>
                <w:rFonts w:asciiTheme="minorHAnsi" w:hAnsiTheme="minorHAnsi" w:cstheme="minorHAnsi"/>
              </w:rPr>
              <w:t xml:space="preserve">Document UC14/27, a letter required by the external auditors for GCUNY Inc confirming the University Court’s financial support to enable GCUNY to carry out its activities up to and at least until 27 November 2015. </w:t>
            </w:r>
          </w:p>
        </w:tc>
      </w:tr>
      <w:tr w:rsidR="00E32B97" w:rsidRPr="0062173B" w:rsidTr="002D2034">
        <w:tc>
          <w:tcPr>
            <w:tcW w:w="959" w:type="dxa"/>
          </w:tcPr>
          <w:p w:rsidR="00E32B97" w:rsidRPr="0062173B" w:rsidRDefault="00E32B97" w:rsidP="00B66982">
            <w:pPr>
              <w:pStyle w:val="NoSpacing"/>
              <w:jc w:val="both"/>
              <w:rPr>
                <w:rFonts w:asciiTheme="minorHAnsi" w:hAnsiTheme="minorHAnsi" w:cstheme="minorHAnsi"/>
              </w:rPr>
            </w:pPr>
          </w:p>
        </w:tc>
        <w:tc>
          <w:tcPr>
            <w:tcW w:w="1276" w:type="dxa"/>
          </w:tcPr>
          <w:p w:rsidR="00E32B97" w:rsidRPr="0062173B" w:rsidRDefault="00E32B97" w:rsidP="00B66982">
            <w:pPr>
              <w:pStyle w:val="NoSpacing"/>
              <w:jc w:val="both"/>
              <w:rPr>
                <w:rFonts w:asciiTheme="minorHAnsi" w:hAnsiTheme="minorHAnsi" w:cstheme="minorHAnsi"/>
              </w:rPr>
            </w:pPr>
          </w:p>
        </w:tc>
        <w:tc>
          <w:tcPr>
            <w:tcW w:w="708" w:type="dxa"/>
          </w:tcPr>
          <w:p w:rsidR="00E32B97" w:rsidRPr="0062173B" w:rsidRDefault="00E32B97" w:rsidP="00B66982">
            <w:pPr>
              <w:pStyle w:val="NoSpacing"/>
              <w:jc w:val="both"/>
              <w:rPr>
                <w:rFonts w:asciiTheme="minorHAnsi" w:hAnsiTheme="minorHAnsi" w:cstheme="minorHAnsi"/>
              </w:rPr>
            </w:pPr>
          </w:p>
        </w:tc>
        <w:tc>
          <w:tcPr>
            <w:tcW w:w="7655" w:type="dxa"/>
          </w:tcPr>
          <w:p w:rsidR="00E32B97" w:rsidRPr="0062173B" w:rsidRDefault="00E32B97" w:rsidP="00E32B97">
            <w:pPr>
              <w:pStyle w:val="NoSpacing"/>
              <w:jc w:val="both"/>
              <w:rPr>
                <w:rFonts w:asciiTheme="minorHAnsi" w:hAnsiTheme="minorHAnsi" w:cstheme="minorHAnsi"/>
              </w:rPr>
            </w:pPr>
          </w:p>
        </w:tc>
      </w:tr>
      <w:tr w:rsidR="00E32B97" w:rsidRPr="0062173B" w:rsidTr="002D2034">
        <w:tc>
          <w:tcPr>
            <w:tcW w:w="959" w:type="dxa"/>
          </w:tcPr>
          <w:p w:rsidR="00E32B97" w:rsidRPr="0062173B" w:rsidRDefault="00E32B97" w:rsidP="00B66982">
            <w:pPr>
              <w:pStyle w:val="NoSpacing"/>
              <w:jc w:val="both"/>
              <w:rPr>
                <w:rFonts w:asciiTheme="minorHAnsi" w:hAnsiTheme="minorHAnsi" w:cstheme="minorHAnsi"/>
              </w:rPr>
            </w:pPr>
            <w:r w:rsidRPr="0062173B">
              <w:rPr>
                <w:rFonts w:asciiTheme="minorHAnsi" w:hAnsiTheme="minorHAnsi" w:cstheme="minorHAnsi"/>
              </w:rPr>
              <w:t>14.57</w:t>
            </w:r>
          </w:p>
        </w:tc>
        <w:tc>
          <w:tcPr>
            <w:tcW w:w="1276" w:type="dxa"/>
          </w:tcPr>
          <w:p w:rsidR="00E32B97" w:rsidRPr="0062173B" w:rsidRDefault="00E32B97"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E32B97" w:rsidRPr="0062173B" w:rsidRDefault="00E32B97" w:rsidP="00B66982">
            <w:pPr>
              <w:pStyle w:val="NoSpacing"/>
              <w:jc w:val="both"/>
              <w:rPr>
                <w:rFonts w:asciiTheme="minorHAnsi" w:hAnsiTheme="minorHAnsi" w:cstheme="minorHAnsi"/>
              </w:rPr>
            </w:pPr>
          </w:p>
        </w:tc>
        <w:tc>
          <w:tcPr>
            <w:tcW w:w="7655" w:type="dxa"/>
          </w:tcPr>
          <w:p w:rsidR="00E32B97" w:rsidRPr="0062173B" w:rsidRDefault="00E32B97" w:rsidP="00E32B97">
            <w:pPr>
              <w:pStyle w:val="NoSpacing"/>
              <w:jc w:val="both"/>
              <w:rPr>
                <w:rFonts w:asciiTheme="minorHAnsi" w:hAnsiTheme="minorHAnsi" w:cstheme="minorHAnsi"/>
              </w:rPr>
            </w:pPr>
            <w:r w:rsidRPr="0062173B">
              <w:rPr>
                <w:rFonts w:asciiTheme="minorHAnsi" w:hAnsiTheme="minorHAnsi" w:cstheme="minorHAnsi"/>
              </w:rPr>
              <w:t xml:space="preserve">The letter of support had been submitted to the GCUNY Board of Directors and, in future, would be submitted to the Finance &amp; General Purposes Committee.  </w:t>
            </w:r>
          </w:p>
        </w:tc>
      </w:tr>
      <w:tr w:rsidR="00E32B97" w:rsidRPr="0062173B" w:rsidTr="002D2034">
        <w:tc>
          <w:tcPr>
            <w:tcW w:w="959" w:type="dxa"/>
          </w:tcPr>
          <w:p w:rsidR="00E32B97" w:rsidRPr="0062173B" w:rsidRDefault="00E32B97" w:rsidP="00B66982">
            <w:pPr>
              <w:pStyle w:val="NoSpacing"/>
              <w:jc w:val="both"/>
              <w:rPr>
                <w:rFonts w:asciiTheme="minorHAnsi" w:hAnsiTheme="minorHAnsi" w:cstheme="minorHAnsi"/>
              </w:rPr>
            </w:pPr>
          </w:p>
        </w:tc>
        <w:tc>
          <w:tcPr>
            <w:tcW w:w="1276" w:type="dxa"/>
          </w:tcPr>
          <w:p w:rsidR="00E32B97" w:rsidRPr="0062173B" w:rsidRDefault="00E32B97" w:rsidP="00B66982">
            <w:pPr>
              <w:pStyle w:val="NoSpacing"/>
              <w:jc w:val="both"/>
              <w:rPr>
                <w:rFonts w:asciiTheme="minorHAnsi" w:hAnsiTheme="minorHAnsi" w:cstheme="minorHAnsi"/>
              </w:rPr>
            </w:pPr>
          </w:p>
        </w:tc>
        <w:tc>
          <w:tcPr>
            <w:tcW w:w="708" w:type="dxa"/>
          </w:tcPr>
          <w:p w:rsidR="00E32B97" w:rsidRPr="0062173B" w:rsidRDefault="00E32B97" w:rsidP="00B66982">
            <w:pPr>
              <w:pStyle w:val="NoSpacing"/>
              <w:jc w:val="both"/>
              <w:rPr>
                <w:rFonts w:asciiTheme="minorHAnsi" w:hAnsiTheme="minorHAnsi" w:cstheme="minorHAnsi"/>
              </w:rPr>
            </w:pPr>
          </w:p>
        </w:tc>
        <w:tc>
          <w:tcPr>
            <w:tcW w:w="7655" w:type="dxa"/>
          </w:tcPr>
          <w:p w:rsidR="00E32B97" w:rsidRPr="0062173B" w:rsidRDefault="00E32B97" w:rsidP="00E32B97">
            <w:pPr>
              <w:pStyle w:val="NoSpacing"/>
              <w:jc w:val="both"/>
              <w:rPr>
                <w:rFonts w:asciiTheme="minorHAnsi" w:hAnsiTheme="minorHAnsi" w:cstheme="minorHAnsi"/>
              </w:rPr>
            </w:pPr>
          </w:p>
        </w:tc>
      </w:tr>
      <w:tr w:rsidR="00E32B97" w:rsidRPr="0062173B" w:rsidTr="002D2034">
        <w:tc>
          <w:tcPr>
            <w:tcW w:w="959" w:type="dxa"/>
          </w:tcPr>
          <w:p w:rsidR="00E32B97" w:rsidRPr="0062173B" w:rsidRDefault="00E32B97" w:rsidP="00B66982">
            <w:pPr>
              <w:pStyle w:val="NoSpacing"/>
              <w:jc w:val="both"/>
              <w:rPr>
                <w:rFonts w:asciiTheme="minorHAnsi" w:hAnsiTheme="minorHAnsi" w:cstheme="minorHAnsi"/>
              </w:rPr>
            </w:pPr>
            <w:r w:rsidRPr="0062173B">
              <w:rPr>
                <w:rFonts w:asciiTheme="minorHAnsi" w:hAnsiTheme="minorHAnsi" w:cstheme="minorHAnsi"/>
              </w:rPr>
              <w:t>14.58</w:t>
            </w:r>
          </w:p>
        </w:tc>
        <w:tc>
          <w:tcPr>
            <w:tcW w:w="1276" w:type="dxa"/>
          </w:tcPr>
          <w:p w:rsidR="00E32B97" w:rsidRPr="0062173B" w:rsidRDefault="00E32B97" w:rsidP="00B66982">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E32B97" w:rsidRPr="0062173B" w:rsidRDefault="00E32B97" w:rsidP="00B66982">
            <w:pPr>
              <w:pStyle w:val="NoSpacing"/>
              <w:jc w:val="both"/>
              <w:rPr>
                <w:rFonts w:asciiTheme="minorHAnsi" w:hAnsiTheme="minorHAnsi" w:cstheme="minorHAnsi"/>
              </w:rPr>
            </w:pPr>
          </w:p>
        </w:tc>
        <w:tc>
          <w:tcPr>
            <w:tcW w:w="7655" w:type="dxa"/>
          </w:tcPr>
          <w:p w:rsidR="00E32B97" w:rsidRPr="0062173B" w:rsidRDefault="00E32B97" w:rsidP="00E32B97">
            <w:pPr>
              <w:pStyle w:val="NoSpacing"/>
              <w:jc w:val="both"/>
              <w:rPr>
                <w:rFonts w:asciiTheme="minorHAnsi" w:hAnsiTheme="minorHAnsi" w:cstheme="minorHAnsi"/>
              </w:rPr>
            </w:pPr>
            <w:r w:rsidRPr="0062173B">
              <w:rPr>
                <w:rFonts w:asciiTheme="minorHAnsi" w:hAnsiTheme="minorHAnsi" w:cstheme="minorHAnsi"/>
              </w:rPr>
              <w:t>To approve the letter of support for GCUNY Inc.</w:t>
            </w:r>
          </w:p>
        </w:tc>
      </w:tr>
    </w:tbl>
    <w:p w:rsidR="00E32B97" w:rsidRPr="0062173B" w:rsidRDefault="00E32B97" w:rsidP="00754C04">
      <w:pPr>
        <w:pStyle w:val="NoSpacing"/>
        <w:jc w:val="both"/>
        <w:rPr>
          <w:rFonts w:asciiTheme="minorHAnsi" w:hAnsiTheme="minorHAnsi" w:cstheme="minorHAnsi"/>
          <w:b/>
        </w:rPr>
      </w:pPr>
    </w:p>
    <w:p w:rsidR="00D22F20" w:rsidRPr="0062173B" w:rsidRDefault="00D22F20" w:rsidP="00D22F20">
      <w:pPr>
        <w:pStyle w:val="NoSpacing"/>
        <w:jc w:val="both"/>
        <w:rPr>
          <w:rFonts w:asciiTheme="minorHAnsi" w:hAnsiTheme="minorHAnsi" w:cstheme="minorHAnsi"/>
          <w:b/>
        </w:rPr>
      </w:pPr>
      <w:r w:rsidRPr="0062173B">
        <w:rPr>
          <w:rFonts w:asciiTheme="minorHAnsi" w:hAnsiTheme="minorHAnsi" w:cstheme="minorHAnsi"/>
          <w:b/>
        </w:rPr>
        <w:t>Health and Safety Committee Report: 3</w:t>
      </w:r>
      <w:r w:rsidRPr="0062173B">
        <w:rPr>
          <w:rFonts w:asciiTheme="minorHAnsi" w:hAnsiTheme="minorHAnsi" w:cstheme="minorHAnsi"/>
          <w:b/>
          <w:vertAlign w:val="superscript"/>
        </w:rPr>
        <w:t>rd</w:t>
      </w:r>
      <w:r w:rsidRPr="0062173B">
        <w:rPr>
          <w:rFonts w:asciiTheme="minorHAnsi" w:hAnsiTheme="minorHAnsi" w:cstheme="minorHAnsi"/>
          <w:b/>
        </w:rPr>
        <w:t xml:space="preserve"> October 2014</w:t>
      </w:r>
    </w:p>
    <w:p w:rsidR="00D22F20" w:rsidRPr="0062173B" w:rsidRDefault="00D22F20" w:rsidP="00D22F20">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D22F20" w:rsidRPr="0062173B" w:rsidTr="002D2034">
        <w:tc>
          <w:tcPr>
            <w:tcW w:w="959" w:type="dxa"/>
          </w:tcPr>
          <w:p w:rsidR="00D22F20" w:rsidRPr="0062173B" w:rsidRDefault="00D22F20" w:rsidP="00D22F20">
            <w:pPr>
              <w:pStyle w:val="NoSpacing"/>
              <w:jc w:val="both"/>
              <w:rPr>
                <w:rFonts w:asciiTheme="minorHAnsi" w:hAnsiTheme="minorHAnsi" w:cstheme="minorHAnsi"/>
              </w:rPr>
            </w:pPr>
            <w:r w:rsidRPr="0062173B">
              <w:rPr>
                <w:rFonts w:asciiTheme="minorHAnsi" w:hAnsiTheme="minorHAnsi" w:cstheme="minorHAnsi"/>
              </w:rPr>
              <w:t>14.59</w:t>
            </w:r>
          </w:p>
        </w:tc>
        <w:tc>
          <w:tcPr>
            <w:tcW w:w="1276" w:type="dxa"/>
          </w:tcPr>
          <w:p w:rsidR="00D22F20" w:rsidRPr="0062173B" w:rsidRDefault="00D22F20"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D22F20" w:rsidRPr="0062173B" w:rsidRDefault="00D22F20" w:rsidP="00B66982">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D22F20" w:rsidRPr="0062173B" w:rsidRDefault="00D22F20" w:rsidP="00D22F20">
            <w:pPr>
              <w:pStyle w:val="NoSpacing"/>
              <w:jc w:val="both"/>
              <w:rPr>
                <w:rFonts w:asciiTheme="minorHAnsi" w:hAnsiTheme="minorHAnsi" w:cstheme="minorHAnsi"/>
              </w:rPr>
            </w:pPr>
            <w:r w:rsidRPr="0062173B">
              <w:rPr>
                <w:rFonts w:asciiTheme="minorHAnsi" w:hAnsiTheme="minorHAnsi" w:cstheme="minorHAnsi"/>
              </w:rPr>
              <w:t>Document UC14/28, a report on the substantive issues of business discussed at the Health and Safety Committee meeting on 3</w:t>
            </w:r>
            <w:r w:rsidRPr="0062173B">
              <w:rPr>
                <w:rFonts w:asciiTheme="minorHAnsi" w:hAnsiTheme="minorHAnsi" w:cstheme="minorHAnsi"/>
                <w:vertAlign w:val="superscript"/>
              </w:rPr>
              <w:t>rd</w:t>
            </w:r>
            <w:r w:rsidRPr="0062173B">
              <w:rPr>
                <w:rFonts w:asciiTheme="minorHAnsi" w:hAnsiTheme="minorHAnsi" w:cstheme="minorHAnsi"/>
              </w:rPr>
              <w:t xml:space="preserve"> October 2014.</w:t>
            </w:r>
          </w:p>
        </w:tc>
      </w:tr>
    </w:tbl>
    <w:p w:rsidR="00D22F20" w:rsidRPr="0062173B" w:rsidRDefault="00D22F20" w:rsidP="00754C04">
      <w:pPr>
        <w:pStyle w:val="NoSpacing"/>
        <w:jc w:val="both"/>
        <w:rPr>
          <w:rFonts w:asciiTheme="minorHAnsi" w:hAnsiTheme="minorHAnsi" w:cstheme="minorHAnsi"/>
          <w:b/>
        </w:rPr>
      </w:pPr>
    </w:p>
    <w:p w:rsidR="00D22F20" w:rsidRPr="0062173B" w:rsidRDefault="00D22F20" w:rsidP="00D22F20">
      <w:pPr>
        <w:pStyle w:val="NoSpacing"/>
        <w:jc w:val="both"/>
        <w:rPr>
          <w:rFonts w:asciiTheme="minorHAnsi" w:hAnsiTheme="minorHAnsi" w:cstheme="minorHAnsi"/>
          <w:b/>
        </w:rPr>
      </w:pPr>
      <w:r w:rsidRPr="0062173B">
        <w:rPr>
          <w:rFonts w:asciiTheme="minorHAnsi" w:hAnsiTheme="minorHAnsi" w:cstheme="minorHAnsi"/>
          <w:b/>
        </w:rPr>
        <w:t>Finance &amp; General Purposes Committee Report: 29</w:t>
      </w:r>
      <w:r w:rsidRPr="0062173B">
        <w:rPr>
          <w:rFonts w:asciiTheme="minorHAnsi" w:hAnsiTheme="minorHAnsi" w:cstheme="minorHAnsi"/>
          <w:b/>
          <w:vertAlign w:val="superscript"/>
        </w:rPr>
        <w:t>th</w:t>
      </w:r>
      <w:r w:rsidRPr="0062173B">
        <w:rPr>
          <w:rFonts w:asciiTheme="minorHAnsi" w:hAnsiTheme="minorHAnsi" w:cstheme="minorHAnsi"/>
          <w:b/>
        </w:rPr>
        <w:t xml:space="preserve"> October 2014</w:t>
      </w:r>
    </w:p>
    <w:p w:rsidR="00D22F20" w:rsidRPr="0062173B" w:rsidRDefault="00D22F20" w:rsidP="00D22F20">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D22F20" w:rsidRPr="0062173B" w:rsidTr="002D2034">
        <w:tc>
          <w:tcPr>
            <w:tcW w:w="959" w:type="dxa"/>
          </w:tcPr>
          <w:p w:rsidR="00D22F20" w:rsidRPr="0062173B" w:rsidRDefault="00D22F20" w:rsidP="00D22F20">
            <w:pPr>
              <w:pStyle w:val="NoSpacing"/>
              <w:jc w:val="both"/>
              <w:rPr>
                <w:rFonts w:asciiTheme="minorHAnsi" w:hAnsiTheme="minorHAnsi" w:cstheme="minorHAnsi"/>
              </w:rPr>
            </w:pPr>
            <w:r w:rsidRPr="0062173B">
              <w:rPr>
                <w:rFonts w:asciiTheme="minorHAnsi" w:hAnsiTheme="minorHAnsi" w:cstheme="minorHAnsi"/>
              </w:rPr>
              <w:t>14.60</w:t>
            </w:r>
          </w:p>
        </w:tc>
        <w:tc>
          <w:tcPr>
            <w:tcW w:w="1276" w:type="dxa"/>
          </w:tcPr>
          <w:p w:rsidR="00D22F20" w:rsidRPr="0062173B" w:rsidRDefault="00D22F20"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D22F20" w:rsidRPr="0062173B" w:rsidRDefault="00D22F20" w:rsidP="00B66982">
            <w:pPr>
              <w:pStyle w:val="NoSpacing"/>
              <w:jc w:val="both"/>
              <w:rPr>
                <w:rFonts w:asciiTheme="minorHAnsi" w:hAnsiTheme="minorHAnsi" w:cstheme="minorHAnsi"/>
              </w:rPr>
            </w:pPr>
          </w:p>
        </w:tc>
        <w:tc>
          <w:tcPr>
            <w:tcW w:w="7655" w:type="dxa"/>
          </w:tcPr>
          <w:p w:rsidR="00D22F20" w:rsidRPr="0062173B" w:rsidRDefault="00D22F20" w:rsidP="00D22F20">
            <w:pPr>
              <w:pStyle w:val="NoSpacing"/>
              <w:jc w:val="both"/>
              <w:rPr>
                <w:rFonts w:asciiTheme="minorHAnsi" w:hAnsiTheme="minorHAnsi" w:cstheme="minorHAnsi"/>
              </w:rPr>
            </w:pPr>
            <w:r w:rsidRPr="0062173B">
              <w:rPr>
                <w:rFonts w:asciiTheme="minorHAnsi" w:hAnsiTheme="minorHAnsi" w:cstheme="minorHAnsi"/>
              </w:rPr>
              <w:t>Document UC14/29, a report on the substantive issues of business discussed at the Finance &amp; General Purposes Committee meeting on 29th October 2014.</w:t>
            </w:r>
          </w:p>
        </w:tc>
      </w:tr>
    </w:tbl>
    <w:p w:rsidR="00E32B97" w:rsidRPr="0062173B" w:rsidRDefault="00E32B97" w:rsidP="00754C04">
      <w:pPr>
        <w:pStyle w:val="NoSpacing"/>
        <w:jc w:val="both"/>
        <w:rPr>
          <w:rFonts w:asciiTheme="minorHAnsi" w:hAnsiTheme="minorHAnsi" w:cstheme="minorHAnsi"/>
          <w:b/>
        </w:rPr>
      </w:pPr>
    </w:p>
    <w:p w:rsidR="00D22F20" w:rsidRPr="0062173B" w:rsidRDefault="00D22F20" w:rsidP="00754C04">
      <w:pPr>
        <w:pStyle w:val="NoSpacing"/>
        <w:jc w:val="both"/>
        <w:rPr>
          <w:rFonts w:asciiTheme="minorHAnsi" w:hAnsiTheme="minorHAnsi" w:cstheme="minorHAnsi"/>
          <w:b/>
        </w:rPr>
      </w:pPr>
      <w:r w:rsidRPr="0062173B">
        <w:rPr>
          <w:rFonts w:asciiTheme="minorHAnsi" w:hAnsiTheme="minorHAnsi" w:cstheme="minorHAnsi"/>
          <w:b/>
        </w:rPr>
        <w:t>Business Case for GCU London Undergraduate Provision</w:t>
      </w:r>
    </w:p>
    <w:p w:rsidR="00D22F20" w:rsidRPr="0062173B" w:rsidRDefault="00D22F20"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D22F20" w:rsidRPr="0062173B" w:rsidTr="002D2034">
        <w:tc>
          <w:tcPr>
            <w:tcW w:w="959" w:type="dxa"/>
          </w:tcPr>
          <w:p w:rsidR="00D22F20" w:rsidRPr="0062173B" w:rsidRDefault="00D22F20" w:rsidP="00B66982">
            <w:pPr>
              <w:pStyle w:val="NoSpacing"/>
              <w:jc w:val="both"/>
              <w:rPr>
                <w:rFonts w:asciiTheme="minorHAnsi" w:hAnsiTheme="minorHAnsi" w:cstheme="minorHAnsi"/>
              </w:rPr>
            </w:pPr>
            <w:r w:rsidRPr="0062173B">
              <w:rPr>
                <w:rFonts w:asciiTheme="minorHAnsi" w:hAnsiTheme="minorHAnsi" w:cstheme="minorHAnsi"/>
              </w:rPr>
              <w:t>14.61</w:t>
            </w:r>
          </w:p>
        </w:tc>
        <w:tc>
          <w:tcPr>
            <w:tcW w:w="1276" w:type="dxa"/>
          </w:tcPr>
          <w:p w:rsidR="00D22F20" w:rsidRPr="0062173B" w:rsidRDefault="00D22F20" w:rsidP="00B66982">
            <w:pPr>
              <w:pStyle w:val="NoSpacing"/>
              <w:jc w:val="both"/>
              <w:rPr>
                <w:rFonts w:asciiTheme="minorHAnsi" w:hAnsiTheme="minorHAnsi" w:cstheme="minorHAnsi"/>
              </w:rPr>
            </w:pPr>
            <w:r w:rsidRPr="0062173B">
              <w:rPr>
                <w:rFonts w:asciiTheme="minorHAnsi" w:hAnsiTheme="minorHAnsi" w:cstheme="minorHAnsi"/>
              </w:rPr>
              <w:t>Considered</w:t>
            </w:r>
          </w:p>
        </w:tc>
        <w:tc>
          <w:tcPr>
            <w:tcW w:w="708" w:type="dxa"/>
          </w:tcPr>
          <w:p w:rsidR="00D22F20" w:rsidRPr="0062173B" w:rsidRDefault="00D22F20" w:rsidP="00B66982">
            <w:pPr>
              <w:pStyle w:val="NoSpacing"/>
              <w:jc w:val="both"/>
              <w:rPr>
                <w:rFonts w:asciiTheme="minorHAnsi" w:hAnsiTheme="minorHAnsi" w:cstheme="minorHAnsi"/>
              </w:rPr>
            </w:pPr>
          </w:p>
        </w:tc>
        <w:tc>
          <w:tcPr>
            <w:tcW w:w="7655" w:type="dxa"/>
          </w:tcPr>
          <w:p w:rsidR="00D22F20" w:rsidRPr="0062173B" w:rsidRDefault="00302ED8" w:rsidP="00302ED8">
            <w:pPr>
              <w:pStyle w:val="NoSpacing"/>
              <w:jc w:val="both"/>
              <w:rPr>
                <w:rFonts w:asciiTheme="minorHAnsi" w:hAnsiTheme="minorHAnsi" w:cstheme="minorHAnsi"/>
              </w:rPr>
            </w:pPr>
            <w:r w:rsidRPr="0062173B">
              <w:rPr>
                <w:rFonts w:asciiTheme="minorHAnsi" w:hAnsiTheme="minorHAnsi" w:cstheme="minorHAnsi"/>
              </w:rPr>
              <w:t xml:space="preserve">Document UC14/30, the </w:t>
            </w:r>
            <w:r w:rsidRPr="0062173B">
              <w:rPr>
                <w:rFonts w:asciiTheme="minorHAnsi" w:hAnsiTheme="minorHAnsi"/>
              </w:rPr>
              <w:t>business case for the introduction of undergraduate at GCU London from September 2015.</w:t>
            </w: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p>
        </w:tc>
        <w:tc>
          <w:tcPr>
            <w:tcW w:w="1276" w:type="dxa"/>
          </w:tcPr>
          <w:p w:rsidR="00302ED8" w:rsidRPr="0062173B" w:rsidRDefault="00302ED8" w:rsidP="00B66982">
            <w:pPr>
              <w:pStyle w:val="NoSpacing"/>
              <w:jc w:val="both"/>
              <w:rPr>
                <w:rFonts w:asciiTheme="minorHAnsi" w:hAnsiTheme="minorHAnsi" w:cstheme="minorHAnsi"/>
              </w:rPr>
            </w:pPr>
          </w:p>
        </w:tc>
        <w:tc>
          <w:tcPr>
            <w:tcW w:w="708" w:type="dxa"/>
          </w:tcPr>
          <w:p w:rsidR="00302ED8" w:rsidRPr="0062173B" w:rsidRDefault="00302ED8" w:rsidP="00B66982">
            <w:pPr>
              <w:pStyle w:val="NoSpacing"/>
              <w:jc w:val="both"/>
              <w:rPr>
                <w:rFonts w:asciiTheme="minorHAnsi" w:hAnsiTheme="minorHAnsi" w:cstheme="minorHAnsi"/>
              </w:rPr>
            </w:pPr>
          </w:p>
        </w:tc>
        <w:tc>
          <w:tcPr>
            <w:tcW w:w="7655" w:type="dxa"/>
          </w:tcPr>
          <w:p w:rsidR="00302ED8" w:rsidRPr="0062173B" w:rsidRDefault="00302ED8" w:rsidP="00302ED8">
            <w:pPr>
              <w:pStyle w:val="NoSpacing"/>
              <w:jc w:val="both"/>
              <w:rPr>
                <w:rFonts w:asciiTheme="minorHAnsi" w:hAnsiTheme="minorHAnsi" w:cstheme="minorHAnsi"/>
              </w:rPr>
            </w:pP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14.62</w:t>
            </w:r>
          </w:p>
        </w:tc>
        <w:tc>
          <w:tcPr>
            <w:tcW w:w="1276"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 xml:space="preserve">The Deputy Vice Chancellor highlighted the key points in relation to the business case set out in the Executive Summary.  </w:t>
            </w: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p>
        </w:tc>
        <w:tc>
          <w:tcPr>
            <w:tcW w:w="1276" w:type="dxa"/>
          </w:tcPr>
          <w:p w:rsidR="00302ED8" w:rsidRPr="0062173B" w:rsidRDefault="00302ED8" w:rsidP="00B66982">
            <w:pPr>
              <w:pStyle w:val="NoSpacing"/>
              <w:jc w:val="both"/>
              <w:rPr>
                <w:rFonts w:asciiTheme="minorHAnsi" w:hAnsiTheme="minorHAnsi" w:cstheme="minorHAnsi"/>
              </w:rPr>
            </w:pPr>
          </w:p>
        </w:tc>
        <w:tc>
          <w:tcPr>
            <w:tcW w:w="708" w:type="dxa"/>
          </w:tcPr>
          <w:p w:rsidR="00302ED8" w:rsidRPr="0062173B" w:rsidRDefault="00302ED8" w:rsidP="00B66982">
            <w:pPr>
              <w:pStyle w:val="NoSpacing"/>
              <w:jc w:val="both"/>
              <w:rPr>
                <w:rFonts w:asciiTheme="minorHAnsi" w:hAnsiTheme="minorHAnsi" w:cstheme="minorHAnsi"/>
              </w:rPr>
            </w:pPr>
          </w:p>
        </w:tc>
        <w:tc>
          <w:tcPr>
            <w:tcW w:w="7655" w:type="dxa"/>
          </w:tcPr>
          <w:p w:rsidR="00302ED8" w:rsidRPr="0062173B" w:rsidRDefault="00302ED8" w:rsidP="00B66982">
            <w:pPr>
              <w:pStyle w:val="NoSpacing"/>
              <w:jc w:val="both"/>
              <w:rPr>
                <w:rFonts w:asciiTheme="minorHAnsi" w:hAnsiTheme="minorHAnsi" w:cstheme="minorHAnsi"/>
              </w:rPr>
            </w:pP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p>
        </w:tc>
        <w:tc>
          <w:tcPr>
            <w:tcW w:w="1276" w:type="dxa"/>
          </w:tcPr>
          <w:p w:rsidR="00302ED8" w:rsidRPr="0062173B" w:rsidRDefault="00302ED8" w:rsidP="00B66982">
            <w:pPr>
              <w:pStyle w:val="NoSpacing"/>
              <w:jc w:val="both"/>
              <w:rPr>
                <w:rFonts w:asciiTheme="minorHAnsi" w:hAnsiTheme="minorHAnsi" w:cstheme="minorHAnsi"/>
              </w:rPr>
            </w:pPr>
          </w:p>
        </w:tc>
        <w:tc>
          <w:tcPr>
            <w:tcW w:w="708"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302ED8" w:rsidRPr="0062173B" w:rsidRDefault="00E52CEE" w:rsidP="00E52CEE">
            <w:pPr>
              <w:pStyle w:val="NoSpacing"/>
              <w:jc w:val="both"/>
              <w:rPr>
                <w:rFonts w:asciiTheme="minorHAnsi" w:hAnsiTheme="minorHAnsi" w:cstheme="minorHAnsi"/>
              </w:rPr>
            </w:pPr>
            <w:r w:rsidRPr="0062173B">
              <w:rPr>
                <w:rFonts w:asciiTheme="minorHAnsi" w:hAnsiTheme="minorHAnsi" w:cstheme="minorHAnsi"/>
              </w:rPr>
              <w:t xml:space="preserve">Court had shown general </w:t>
            </w:r>
            <w:r w:rsidR="00302ED8" w:rsidRPr="0062173B">
              <w:rPr>
                <w:rFonts w:asciiTheme="minorHAnsi" w:hAnsiTheme="minorHAnsi" w:cstheme="minorHAnsi"/>
              </w:rPr>
              <w:t xml:space="preserve">support for the proposal </w:t>
            </w:r>
            <w:r w:rsidRPr="0062173B">
              <w:rPr>
                <w:rFonts w:asciiTheme="minorHAnsi" w:hAnsiTheme="minorHAnsi" w:cstheme="minorHAnsi"/>
              </w:rPr>
              <w:t>at its</w:t>
            </w:r>
            <w:r w:rsidR="00302ED8" w:rsidRPr="0062173B">
              <w:rPr>
                <w:rFonts w:asciiTheme="minorHAnsi" w:hAnsiTheme="minorHAnsi" w:cstheme="minorHAnsi"/>
              </w:rPr>
              <w:t xml:space="preserve"> annual Strategic Planning Event which had been held on 7th and 8th October 2014.</w:t>
            </w: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p>
        </w:tc>
        <w:tc>
          <w:tcPr>
            <w:tcW w:w="1276" w:type="dxa"/>
          </w:tcPr>
          <w:p w:rsidR="00302ED8" w:rsidRPr="0062173B" w:rsidRDefault="00302ED8" w:rsidP="00B66982">
            <w:pPr>
              <w:pStyle w:val="NoSpacing"/>
              <w:jc w:val="both"/>
              <w:rPr>
                <w:rFonts w:asciiTheme="minorHAnsi" w:hAnsiTheme="minorHAnsi" w:cstheme="minorHAnsi"/>
              </w:rPr>
            </w:pPr>
          </w:p>
        </w:tc>
        <w:tc>
          <w:tcPr>
            <w:tcW w:w="708" w:type="dxa"/>
          </w:tcPr>
          <w:p w:rsidR="00302ED8" w:rsidRPr="0062173B" w:rsidRDefault="00302ED8" w:rsidP="00B66982">
            <w:pPr>
              <w:pStyle w:val="NoSpacing"/>
              <w:jc w:val="both"/>
              <w:rPr>
                <w:rFonts w:asciiTheme="minorHAnsi" w:hAnsiTheme="minorHAnsi" w:cstheme="minorHAnsi"/>
              </w:rPr>
            </w:pPr>
          </w:p>
        </w:tc>
        <w:tc>
          <w:tcPr>
            <w:tcW w:w="7655" w:type="dxa"/>
          </w:tcPr>
          <w:p w:rsidR="00302ED8" w:rsidRPr="0062173B" w:rsidRDefault="00302ED8" w:rsidP="00B66982">
            <w:pPr>
              <w:pStyle w:val="NoSpacing"/>
              <w:jc w:val="both"/>
              <w:rPr>
                <w:rFonts w:asciiTheme="minorHAnsi" w:hAnsiTheme="minorHAnsi" w:cstheme="minorHAnsi"/>
              </w:rPr>
            </w:pP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p>
        </w:tc>
        <w:tc>
          <w:tcPr>
            <w:tcW w:w="1276" w:type="dxa"/>
          </w:tcPr>
          <w:p w:rsidR="00302ED8" w:rsidRPr="0062173B" w:rsidRDefault="00302ED8" w:rsidP="00B66982">
            <w:pPr>
              <w:pStyle w:val="NoSpacing"/>
              <w:jc w:val="both"/>
              <w:rPr>
                <w:rFonts w:asciiTheme="minorHAnsi" w:hAnsiTheme="minorHAnsi" w:cstheme="minorHAnsi"/>
              </w:rPr>
            </w:pPr>
          </w:p>
        </w:tc>
        <w:tc>
          <w:tcPr>
            <w:tcW w:w="708"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iii.</w:t>
            </w:r>
          </w:p>
        </w:tc>
        <w:tc>
          <w:tcPr>
            <w:tcW w:w="7655" w:type="dxa"/>
          </w:tcPr>
          <w:p w:rsidR="00302ED8" w:rsidRPr="0062173B" w:rsidRDefault="00302ED8" w:rsidP="00302ED8">
            <w:pPr>
              <w:pStyle w:val="NoSpacing"/>
              <w:jc w:val="both"/>
              <w:rPr>
                <w:rFonts w:asciiTheme="minorHAnsi" w:hAnsiTheme="minorHAnsi" w:cstheme="minorHAnsi"/>
              </w:rPr>
            </w:pPr>
            <w:r w:rsidRPr="0062173B">
              <w:rPr>
                <w:rFonts w:asciiTheme="minorHAnsi" w:hAnsiTheme="minorHAnsi" w:cstheme="minorHAnsi"/>
              </w:rPr>
              <w:t>The Finance &amp; General Purposes Committee had considered the business case at its meeting on 29</w:t>
            </w:r>
            <w:r w:rsidRPr="0062173B">
              <w:rPr>
                <w:rFonts w:asciiTheme="minorHAnsi" w:hAnsiTheme="minorHAnsi" w:cstheme="minorHAnsi"/>
                <w:vertAlign w:val="superscript"/>
              </w:rPr>
              <w:t>th</w:t>
            </w:r>
            <w:r w:rsidRPr="0062173B">
              <w:rPr>
                <w:rFonts w:asciiTheme="minorHAnsi" w:hAnsiTheme="minorHAnsi" w:cstheme="minorHAnsi"/>
              </w:rPr>
              <w:t xml:space="preserve"> October 2014 and </w:t>
            </w:r>
            <w:r w:rsidR="00B34BF8" w:rsidRPr="0062173B">
              <w:rPr>
                <w:rFonts w:asciiTheme="minorHAnsi" w:hAnsiTheme="minorHAnsi" w:cstheme="minorHAnsi"/>
              </w:rPr>
              <w:t xml:space="preserve">had </w:t>
            </w:r>
            <w:r w:rsidR="00B34BF8" w:rsidRPr="0062173B">
              <w:rPr>
                <w:rFonts w:asciiTheme="minorHAnsi" w:hAnsiTheme="minorHAnsi"/>
              </w:rPr>
              <w:t>recommended the proposal and business case to Court for approval.</w:t>
            </w: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p>
        </w:tc>
        <w:tc>
          <w:tcPr>
            <w:tcW w:w="1276" w:type="dxa"/>
          </w:tcPr>
          <w:p w:rsidR="00302ED8" w:rsidRPr="0062173B" w:rsidRDefault="00302ED8" w:rsidP="00B66982">
            <w:pPr>
              <w:pStyle w:val="NoSpacing"/>
              <w:jc w:val="both"/>
              <w:rPr>
                <w:rFonts w:asciiTheme="minorHAnsi" w:hAnsiTheme="minorHAnsi" w:cstheme="minorHAnsi"/>
              </w:rPr>
            </w:pPr>
          </w:p>
        </w:tc>
        <w:tc>
          <w:tcPr>
            <w:tcW w:w="708" w:type="dxa"/>
          </w:tcPr>
          <w:p w:rsidR="00302ED8" w:rsidRPr="0062173B" w:rsidRDefault="00302ED8" w:rsidP="00B66982">
            <w:pPr>
              <w:pStyle w:val="NoSpacing"/>
              <w:jc w:val="both"/>
              <w:rPr>
                <w:rFonts w:asciiTheme="minorHAnsi" w:hAnsiTheme="minorHAnsi" w:cstheme="minorHAnsi"/>
              </w:rPr>
            </w:pPr>
          </w:p>
        </w:tc>
        <w:tc>
          <w:tcPr>
            <w:tcW w:w="7655" w:type="dxa"/>
          </w:tcPr>
          <w:p w:rsidR="00302ED8" w:rsidRPr="0062173B" w:rsidRDefault="00302ED8" w:rsidP="00B66982">
            <w:pPr>
              <w:pStyle w:val="NoSpacing"/>
              <w:jc w:val="both"/>
              <w:rPr>
                <w:rFonts w:asciiTheme="minorHAnsi" w:hAnsiTheme="minorHAnsi" w:cstheme="minorHAnsi"/>
              </w:rPr>
            </w:pPr>
          </w:p>
        </w:tc>
      </w:tr>
      <w:tr w:rsidR="00302ED8" w:rsidRPr="0062173B" w:rsidTr="002D2034">
        <w:tc>
          <w:tcPr>
            <w:tcW w:w="959"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14.</w:t>
            </w:r>
            <w:r w:rsidR="00E52CEE" w:rsidRPr="0062173B">
              <w:rPr>
                <w:rFonts w:asciiTheme="minorHAnsi" w:hAnsiTheme="minorHAnsi" w:cstheme="minorHAnsi"/>
              </w:rPr>
              <w:t>63</w:t>
            </w:r>
          </w:p>
        </w:tc>
        <w:tc>
          <w:tcPr>
            <w:tcW w:w="1276"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Discussion</w:t>
            </w:r>
          </w:p>
        </w:tc>
        <w:tc>
          <w:tcPr>
            <w:tcW w:w="708" w:type="dxa"/>
          </w:tcPr>
          <w:p w:rsidR="00302ED8" w:rsidRPr="0062173B" w:rsidRDefault="00302ED8" w:rsidP="00B66982">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302ED8" w:rsidRPr="0062173B" w:rsidRDefault="00E52CEE" w:rsidP="0062173B">
            <w:pPr>
              <w:pStyle w:val="NoSpacing"/>
              <w:jc w:val="both"/>
              <w:rPr>
                <w:rFonts w:asciiTheme="minorHAnsi" w:hAnsiTheme="minorHAnsi" w:cstheme="minorHAnsi"/>
              </w:rPr>
            </w:pPr>
            <w:r w:rsidRPr="0062173B">
              <w:rPr>
                <w:rFonts w:asciiTheme="minorHAnsi" w:hAnsiTheme="minorHAnsi" w:cstheme="minorHAnsi"/>
              </w:rPr>
              <w:t>Court</w:t>
            </w:r>
            <w:r w:rsidR="00302ED8" w:rsidRPr="0062173B">
              <w:rPr>
                <w:rFonts w:asciiTheme="minorHAnsi" w:hAnsiTheme="minorHAnsi" w:cstheme="minorHAnsi"/>
              </w:rPr>
              <w:t xml:space="preserve"> discussed the proposal at length and sought and received clarification of points of detail</w:t>
            </w:r>
            <w:r w:rsidR="0062173B">
              <w:rPr>
                <w:rFonts w:asciiTheme="minorHAnsi" w:hAnsiTheme="minorHAnsi" w:cstheme="minorHAnsi"/>
              </w:rPr>
              <w:t xml:space="preserve"> including the following on the important issue of the student experience.</w:t>
            </w:r>
          </w:p>
        </w:tc>
      </w:tr>
      <w:tr w:rsidR="00E52CEE" w:rsidRPr="0062173B" w:rsidTr="002D2034">
        <w:tc>
          <w:tcPr>
            <w:tcW w:w="959" w:type="dxa"/>
          </w:tcPr>
          <w:p w:rsidR="00E52CEE" w:rsidRPr="0062173B" w:rsidRDefault="00E52CEE" w:rsidP="00B66982">
            <w:pPr>
              <w:pStyle w:val="NoSpacing"/>
              <w:jc w:val="both"/>
              <w:rPr>
                <w:rFonts w:asciiTheme="minorHAnsi" w:hAnsiTheme="minorHAnsi" w:cstheme="minorHAnsi"/>
              </w:rPr>
            </w:pPr>
          </w:p>
        </w:tc>
        <w:tc>
          <w:tcPr>
            <w:tcW w:w="1276" w:type="dxa"/>
          </w:tcPr>
          <w:p w:rsidR="00E52CEE" w:rsidRPr="0062173B" w:rsidRDefault="00E52CEE" w:rsidP="00B66982">
            <w:pPr>
              <w:pStyle w:val="NoSpacing"/>
              <w:jc w:val="both"/>
              <w:rPr>
                <w:rFonts w:asciiTheme="minorHAnsi" w:hAnsiTheme="minorHAnsi" w:cstheme="minorHAnsi"/>
              </w:rPr>
            </w:pPr>
          </w:p>
        </w:tc>
        <w:tc>
          <w:tcPr>
            <w:tcW w:w="708" w:type="dxa"/>
          </w:tcPr>
          <w:p w:rsidR="00E52CEE" w:rsidRPr="0062173B" w:rsidRDefault="00E52CEE" w:rsidP="00B66982">
            <w:pPr>
              <w:pStyle w:val="NoSpacing"/>
              <w:jc w:val="both"/>
              <w:rPr>
                <w:rFonts w:asciiTheme="minorHAnsi" w:hAnsiTheme="minorHAnsi" w:cstheme="minorHAnsi"/>
              </w:rPr>
            </w:pPr>
          </w:p>
        </w:tc>
        <w:tc>
          <w:tcPr>
            <w:tcW w:w="7655" w:type="dxa"/>
          </w:tcPr>
          <w:p w:rsidR="00E52CEE" w:rsidRPr="0062173B" w:rsidRDefault="00D846B6" w:rsidP="00BF720D">
            <w:pPr>
              <w:pStyle w:val="NoSpacing"/>
              <w:numPr>
                <w:ilvl w:val="0"/>
                <w:numId w:val="46"/>
              </w:numPr>
              <w:jc w:val="both"/>
              <w:rPr>
                <w:rFonts w:asciiTheme="minorHAnsi" w:hAnsiTheme="minorHAnsi" w:cstheme="minorHAnsi"/>
              </w:rPr>
            </w:pPr>
            <w:r w:rsidRPr="0062173B">
              <w:rPr>
                <w:rFonts w:asciiTheme="minorHAnsi" w:hAnsiTheme="minorHAnsi" w:cstheme="minorHAnsi"/>
              </w:rPr>
              <w:t xml:space="preserve">In response to a query </w:t>
            </w:r>
            <w:r w:rsidR="0088111A" w:rsidRPr="0062173B">
              <w:rPr>
                <w:rFonts w:asciiTheme="minorHAnsi" w:hAnsiTheme="minorHAnsi" w:cstheme="minorHAnsi"/>
              </w:rPr>
              <w:t>about the provision of a careers service, it was noted that initially this support would be provided from GCU</w:t>
            </w:r>
            <w:r w:rsidR="00BF720D" w:rsidRPr="0062173B">
              <w:rPr>
                <w:rFonts w:asciiTheme="minorHAnsi" w:hAnsiTheme="minorHAnsi" w:cstheme="minorHAnsi"/>
              </w:rPr>
              <w:t xml:space="preserve"> Glasgow</w:t>
            </w:r>
            <w:r w:rsidR="0088111A" w:rsidRPr="0062173B">
              <w:rPr>
                <w:rFonts w:asciiTheme="minorHAnsi" w:hAnsiTheme="minorHAnsi" w:cstheme="minorHAnsi"/>
              </w:rPr>
              <w:t xml:space="preserve">.  </w:t>
            </w:r>
            <w:r w:rsidR="0088111A" w:rsidRPr="0062173B">
              <w:rPr>
                <w:rFonts w:asciiTheme="minorHAnsi" w:hAnsiTheme="minorHAnsi" w:cstheme="minorHAnsi"/>
              </w:rPr>
              <w:lastRenderedPageBreak/>
              <w:t xml:space="preserve">Capacity would be increased </w:t>
            </w:r>
            <w:r w:rsidR="00BF720D" w:rsidRPr="0062173B">
              <w:rPr>
                <w:rFonts w:asciiTheme="minorHAnsi" w:hAnsiTheme="minorHAnsi" w:cstheme="minorHAnsi"/>
              </w:rPr>
              <w:t xml:space="preserve">as student numbers increased </w:t>
            </w:r>
            <w:r w:rsidR="0088111A" w:rsidRPr="0062173B">
              <w:rPr>
                <w:rFonts w:asciiTheme="minorHAnsi" w:hAnsiTheme="minorHAnsi" w:cstheme="minorHAnsi"/>
              </w:rPr>
              <w:t>to ensure parity of service at each campus</w:t>
            </w:r>
            <w:r w:rsidR="00BF720D" w:rsidRPr="0062173B">
              <w:rPr>
                <w:rFonts w:asciiTheme="minorHAnsi" w:hAnsiTheme="minorHAnsi" w:cstheme="minorHAnsi"/>
              </w:rPr>
              <w:t>;</w:t>
            </w:r>
            <w:r w:rsidR="0088111A" w:rsidRPr="0062173B">
              <w:rPr>
                <w:rFonts w:asciiTheme="minorHAnsi" w:hAnsiTheme="minorHAnsi" w:cstheme="minorHAnsi"/>
              </w:rPr>
              <w:t xml:space="preserve"> </w:t>
            </w:r>
            <w:r w:rsidR="00BF720D" w:rsidRPr="0062173B">
              <w:rPr>
                <w:rFonts w:asciiTheme="minorHAnsi" w:hAnsiTheme="minorHAnsi" w:cstheme="minorHAnsi"/>
              </w:rPr>
              <w:t>i</w:t>
            </w:r>
            <w:r w:rsidR="0088111A" w:rsidRPr="0062173B">
              <w:rPr>
                <w:rFonts w:asciiTheme="minorHAnsi" w:hAnsiTheme="minorHAnsi" w:cstheme="minorHAnsi"/>
              </w:rPr>
              <w:t xml:space="preserve">t was intended to build in some provision for a local careers service at London from 2016/2017. </w:t>
            </w:r>
            <w:r w:rsidRPr="0062173B">
              <w:rPr>
                <w:rFonts w:asciiTheme="minorHAnsi" w:hAnsiTheme="minorHAnsi" w:cstheme="minorHAnsi"/>
              </w:rPr>
              <w:t xml:space="preserve">  </w:t>
            </w:r>
            <w:r w:rsidR="0088111A" w:rsidRPr="0062173B">
              <w:rPr>
                <w:rFonts w:asciiTheme="minorHAnsi" w:hAnsiTheme="minorHAnsi" w:cstheme="minorHAnsi"/>
              </w:rPr>
              <w:t xml:space="preserve">The newly appointed Dean </w:t>
            </w:r>
            <w:r w:rsidR="00BF720D" w:rsidRPr="0062173B">
              <w:rPr>
                <w:rFonts w:asciiTheme="minorHAnsi" w:hAnsiTheme="minorHAnsi" w:cstheme="minorHAnsi"/>
              </w:rPr>
              <w:t>of</w:t>
            </w:r>
            <w:r w:rsidR="0088111A" w:rsidRPr="0062173B">
              <w:rPr>
                <w:rFonts w:asciiTheme="minorHAnsi" w:hAnsiTheme="minorHAnsi" w:cstheme="minorHAnsi"/>
              </w:rPr>
              <w:t xml:space="preserve"> GCU London </w:t>
            </w:r>
            <w:r w:rsidR="00E948E0" w:rsidRPr="0062173B">
              <w:rPr>
                <w:rFonts w:asciiTheme="minorHAnsi" w:hAnsiTheme="minorHAnsi" w:cstheme="minorHAnsi"/>
              </w:rPr>
              <w:t xml:space="preserve">would </w:t>
            </w:r>
            <w:r w:rsidR="0088111A" w:rsidRPr="0062173B">
              <w:rPr>
                <w:rFonts w:asciiTheme="minorHAnsi" w:hAnsiTheme="minorHAnsi" w:cstheme="minorHAnsi"/>
              </w:rPr>
              <w:t>be address</w:t>
            </w:r>
            <w:r w:rsidR="00E948E0" w:rsidRPr="0062173B">
              <w:rPr>
                <w:rFonts w:asciiTheme="minorHAnsi" w:hAnsiTheme="minorHAnsi" w:cstheme="minorHAnsi"/>
              </w:rPr>
              <w:t>ing this</w:t>
            </w:r>
            <w:r w:rsidR="0088111A" w:rsidRPr="0062173B">
              <w:rPr>
                <w:rFonts w:asciiTheme="minorHAnsi" w:hAnsiTheme="minorHAnsi" w:cstheme="minorHAnsi"/>
              </w:rPr>
              <w:t xml:space="preserve"> as a key part of the student experience. </w:t>
            </w:r>
          </w:p>
        </w:tc>
      </w:tr>
      <w:tr w:rsidR="0088111A" w:rsidRPr="0062173B" w:rsidTr="002D2034">
        <w:tc>
          <w:tcPr>
            <w:tcW w:w="959" w:type="dxa"/>
          </w:tcPr>
          <w:p w:rsidR="0088111A" w:rsidRPr="0062173B" w:rsidRDefault="0088111A" w:rsidP="00B66982">
            <w:pPr>
              <w:pStyle w:val="NoSpacing"/>
              <w:jc w:val="both"/>
              <w:rPr>
                <w:rFonts w:asciiTheme="minorHAnsi" w:hAnsiTheme="minorHAnsi" w:cstheme="minorHAnsi"/>
              </w:rPr>
            </w:pPr>
          </w:p>
        </w:tc>
        <w:tc>
          <w:tcPr>
            <w:tcW w:w="1276" w:type="dxa"/>
          </w:tcPr>
          <w:p w:rsidR="0088111A" w:rsidRPr="0062173B" w:rsidRDefault="0088111A" w:rsidP="00B66982">
            <w:pPr>
              <w:pStyle w:val="NoSpacing"/>
              <w:jc w:val="both"/>
              <w:rPr>
                <w:rFonts w:asciiTheme="minorHAnsi" w:hAnsiTheme="minorHAnsi" w:cstheme="minorHAnsi"/>
              </w:rPr>
            </w:pPr>
          </w:p>
        </w:tc>
        <w:tc>
          <w:tcPr>
            <w:tcW w:w="708" w:type="dxa"/>
          </w:tcPr>
          <w:p w:rsidR="0088111A" w:rsidRPr="0062173B" w:rsidRDefault="0088111A" w:rsidP="00B66982">
            <w:pPr>
              <w:pStyle w:val="NoSpacing"/>
              <w:jc w:val="both"/>
              <w:rPr>
                <w:rFonts w:asciiTheme="minorHAnsi" w:hAnsiTheme="minorHAnsi" w:cstheme="minorHAnsi"/>
              </w:rPr>
            </w:pPr>
          </w:p>
        </w:tc>
        <w:tc>
          <w:tcPr>
            <w:tcW w:w="7655" w:type="dxa"/>
          </w:tcPr>
          <w:p w:rsidR="0088111A" w:rsidRPr="0062173B" w:rsidRDefault="0088111A" w:rsidP="0088111A">
            <w:pPr>
              <w:pStyle w:val="NoSpacing"/>
              <w:numPr>
                <w:ilvl w:val="0"/>
                <w:numId w:val="46"/>
              </w:numPr>
              <w:jc w:val="both"/>
              <w:rPr>
                <w:rFonts w:asciiTheme="minorHAnsi" w:hAnsiTheme="minorHAnsi" w:cstheme="minorHAnsi"/>
              </w:rPr>
            </w:pPr>
            <w:r w:rsidRPr="0062173B">
              <w:rPr>
                <w:rFonts w:asciiTheme="minorHAnsi" w:hAnsiTheme="minorHAnsi" w:cstheme="minorHAnsi"/>
              </w:rPr>
              <w:t xml:space="preserve">It was suggested that it would be useful to make explicit reference in the project plan to the support provided to GCU London students by the </w:t>
            </w:r>
            <w:r w:rsidR="00E948E0" w:rsidRPr="0062173B">
              <w:rPr>
                <w:rFonts w:asciiTheme="minorHAnsi" w:hAnsiTheme="minorHAnsi" w:cstheme="minorHAnsi"/>
              </w:rPr>
              <w:t xml:space="preserve">GCU London </w:t>
            </w:r>
            <w:r w:rsidRPr="0062173B">
              <w:rPr>
                <w:rFonts w:asciiTheme="minorHAnsi" w:hAnsiTheme="minorHAnsi" w:cstheme="minorHAnsi"/>
              </w:rPr>
              <w:t>Project Team</w:t>
            </w:r>
            <w:r w:rsidR="00E948E0" w:rsidRPr="0062173B">
              <w:rPr>
                <w:rFonts w:asciiTheme="minorHAnsi" w:hAnsiTheme="minorHAnsi" w:cstheme="minorHAnsi"/>
              </w:rPr>
              <w:t>.</w:t>
            </w:r>
          </w:p>
        </w:tc>
      </w:tr>
      <w:tr w:rsidR="00E52CEE" w:rsidRPr="0062173B" w:rsidTr="002D2034">
        <w:tc>
          <w:tcPr>
            <w:tcW w:w="959" w:type="dxa"/>
          </w:tcPr>
          <w:p w:rsidR="00E52CEE" w:rsidRPr="0062173B" w:rsidRDefault="00E52CEE" w:rsidP="00B66982">
            <w:pPr>
              <w:pStyle w:val="NoSpacing"/>
              <w:jc w:val="both"/>
              <w:rPr>
                <w:rFonts w:asciiTheme="minorHAnsi" w:hAnsiTheme="minorHAnsi" w:cstheme="minorHAnsi"/>
              </w:rPr>
            </w:pPr>
          </w:p>
        </w:tc>
        <w:tc>
          <w:tcPr>
            <w:tcW w:w="1276" w:type="dxa"/>
          </w:tcPr>
          <w:p w:rsidR="00E52CEE" w:rsidRPr="0062173B" w:rsidRDefault="00E52CEE" w:rsidP="00B66982">
            <w:pPr>
              <w:pStyle w:val="NoSpacing"/>
              <w:jc w:val="both"/>
              <w:rPr>
                <w:rFonts w:asciiTheme="minorHAnsi" w:hAnsiTheme="minorHAnsi" w:cstheme="minorHAnsi"/>
              </w:rPr>
            </w:pPr>
          </w:p>
        </w:tc>
        <w:tc>
          <w:tcPr>
            <w:tcW w:w="708" w:type="dxa"/>
          </w:tcPr>
          <w:p w:rsidR="00E52CEE" w:rsidRPr="0062173B" w:rsidRDefault="00E52CEE" w:rsidP="00B66982">
            <w:pPr>
              <w:pStyle w:val="NoSpacing"/>
              <w:jc w:val="both"/>
              <w:rPr>
                <w:rFonts w:asciiTheme="minorHAnsi" w:hAnsiTheme="minorHAnsi" w:cstheme="minorHAnsi"/>
              </w:rPr>
            </w:pPr>
          </w:p>
        </w:tc>
        <w:tc>
          <w:tcPr>
            <w:tcW w:w="7655" w:type="dxa"/>
          </w:tcPr>
          <w:p w:rsidR="00E52CEE" w:rsidRPr="0062173B" w:rsidRDefault="00E52CEE" w:rsidP="00B66982">
            <w:pPr>
              <w:pStyle w:val="NoSpacing"/>
              <w:jc w:val="both"/>
              <w:rPr>
                <w:rFonts w:asciiTheme="minorHAnsi" w:hAnsiTheme="minorHAnsi" w:cstheme="minorHAnsi"/>
              </w:rPr>
            </w:pPr>
          </w:p>
        </w:tc>
      </w:tr>
      <w:tr w:rsidR="00E52CEE" w:rsidRPr="0062173B" w:rsidTr="002D2034">
        <w:tc>
          <w:tcPr>
            <w:tcW w:w="959" w:type="dxa"/>
          </w:tcPr>
          <w:p w:rsidR="00E52CEE" w:rsidRPr="0062173B" w:rsidRDefault="00E52CEE" w:rsidP="00B66982">
            <w:pPr>
              <w:pStyle w:val="NoSpacing"/>
              <w:jc w:val="both"/>
              <w:rPr>
                <w:rFonts w:asciiTheme="minorHAnsi" w:hAnsiTheme="minorHAnsi" w:cstheme="minorHAnsi"/>
              </w:rPr>
            </w:pPr>
            <w:r w:rsidRPr="0062173B">
              <w:rPr>
                <w:rFonts w:asciiTheme="minorHAnsi" w:hAnsiTheme="minorHAnsi" w:cstheme="minorHAnsi"/>
              </w:rPr>
              <w:t>14.64</w:t>
            </w:r>
          </w:p>
        </w:tc>
        <w:tc>
          <w:tcPr>
            <w:tcW w:w="1276" w:type="dxa"/>
          </w:tcPr>
          <w:p w:rsidR="00E52CEE" w:rsidRPr="0062173B" w:rsidRDefault="00E52CEE" w:rsidP="00B66982">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E52CEE" w:rsidRPr="0062173B" w:rsidRDefault="00E52CEE" w:rsidP="00B66982">
            <w:pPr>
              <w:pStyle w:val="NoSpacing"/>
              <w:jc w:val="both"/>
              <w:rPr>
                <w:rFonts w:asciiTheme="minorHAnsi" w:hAnsiTheme="minorHAnsi" w:cstheme="minorHAnsi"/>
              </w:rPr>
            </w:pPr>
          </w:p>
        </w:tc>
        <w:tc>
          <w:tcPr>
            <w:tcW w:w="7655" w:type="dxa"/>
          </w:tcPr>
          <w:p w:rsidR="00E52CEE" w:rsidRPr="0062173B" w:rsidRDefault="003508FB" w:rsidP="00027C85">
            <w:pPr>
              <w:pStyle w:val="NoSpacing"/>
              <w:jc w:val="both"/>
              <w:rPr>
                <w:rFonts w:asciiTheme="minorHAnsi" w:hAnsiTheme="minorHAnsi" w:cstheme="minorHAnsi"/>
              </w:rPr>
            </w:pPr>
            <w:r w:rsidRPr="0062173B">
              <w:rPr>
                <w:rFonts w:asciiTheme="minorHAnsi" w:hAnsiTheme="minorHAnsi" w:cstheme="minorHAnsi"/>
              </w:rPr>
              <w:t>To approve the proposal and business case for the introduction of undergraduate provision at GCU London from September 2015.</w:t>
            </w:r>
          </w:p>
        </w:tc>
      </w:tr>
    </w:tbl>
    <w:p w:rsidR="00D22F20" w:rsidRPr="0062173B" w:rsidRDefault="00D22F20" w:rsidP="00754C04">
      <w:pPr>
        <w:pStyle w:val="NoSpacing"/>
        <w:jc w:val="both"/>
        <w:rPr>
          <w:rFonts w:asciiTheme="minorHAnsi" w:hAnsiTheme="minorHAnsi" w:cstheme="minorHAnsi"/>
          <w:b/>
        </w:rPr>
      </w:pPr>
    </w:p>
    <w:p w:rsidR="00027C85" w:rsidRPr="0062173B" w:rsidRDefault="00027C85" w:rsidP="00027C85">
      <w:pPr>
        <w:pStyle w:val="NoSpacing"/>
        <w:jc w:val="both"/>
        <w:rPr>
          <w:rFonts w:asciiTheme="minorHAnsi" w:hAnsiTheme="minorHAnsi" w:cstheme="minorHAnsi"/>
          <w:b/>
        </w:rPr>
      </w:pPr>
      <w:r w:rsidRPr="0062173B">
        <w:rPr>
          <w:rFonts w:asciiTheme="minorHAnsi" w:hAnsiTheme="minorHAnsi" w:cstheme="minorHAnsi"/>
          <w:b/>
        </w:rPr>
        <w:t>Audit Committee Report: 31</w:t>
      </w:r>
      <w:r w:rsidRPr="0062173B">
        <w:rPr>
          <w:rFonts w:asciiTheme="minorHAnsi" w:hAnsiTheme="minorHAnsi" w:cstheme="minorHAnsi"/>
          <w:b/>
          <w:vertAlign w:val="superscript"/>
        </w:rPr>
        <w:t>st</w:t>
      </w:r>
      <w:r w:rsidRPr="0062173B">
        <w:rPr>
          <w:rFonts w:asciiTheme="minorHAnsi" w:hAnsiTheme="minorHAnsi" w:cstheme="minorHAnsi"/>
          <w:b/>
        </w:rPr>
        <w:t xml:space="preserve"> October 2014</w:t>
      </w:r>
    </w:p>
    <w:p w:rsidR="00027C85" w:rsidRPr="0062173B" w:rsidRDefault="00027C85" w:rsidP="00027C85">
      <w:pPr>
        <w:pStyle w:val="NoSpacing"/>
        <w:jc w:val="both"/>
        <w:rPr>
          <w:rFonts w:asciiTheme="minorHAnsi" w:hAnsiTheme="minorHAnsi" w:cstheme="minorHAnsi"/>
        </w:rPr>
      </w:pPr>
    </w:p>
    <w:tbl>
      <w:tblPr>
        <w:tblW w:w="0" w:type="auto"/>
        <w:tblLayout w:type="fixed"/>
        <w:tblLook w:val="04A0" w:firstRow="1" w:lastRow="0" w:firstColumn="1" w:lastColumn="0" w:noHBand="0" w:noVBand="1"/>
      </w:tblPr>
      <w:tblGrid>
        <w:gridCol w:w="959"/>
        <w:gridCol w:w="1276"/>
        <w:gridCol w:w="708"/>
        <w:gridCol w:w="7655"/>
      </w:tblGrid>
      <w:tr w:rsidR="00027C85" w:rsidRPr="0062173B" w:rsidTr="002D2034">
        <w:tc>
          <w:tcPr>
            <w:tcW w:w="959" w:type="dxa"/>
          </w:tcPr>
          <w:p w:rsidR="00027C85" w:rsidRPr="0062173B" w:rsidRDefault="00027C85" w:rsidP="00027C85">
            <w:pPr>
              <w:pStyle w:val="NoSpacing"/>
              <w:jc w:val="both"/>
              <w:rPr>
                <w:rFonts w:asciiTheme="minorHAnsi" w:hAnsiTheme="minorHAnsi" w:cstheme="minorHAnsi"/>
              </w:rPr>
            </w:pPr>
            <w:r w:rsidRPr="0062173B">
              <w:rPr>
                <w:rFonts w:asciiTheme="minorHAnsi" w:hAnsiTheme="minorHAnsi" w:cstheme="minorHAnsi"/>
              </w:rPr>
              <w:t>14.65</w:t>
            </w:r>
          </w:p>
        </w:tc>
        <w:tc>
          <w:tcPr>
            <w:tcW w:w="1276" w:type="dxa"/>
          </w:tcPr>
          <w:p w:rsidR="00027C85" w:rsidRPr="0062173B" w:rsidRDefault="00027C85"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027C85" w:rsidRPr="0062173B" w:rsidRDefault="00027C85" w:rsidP="00B66982">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027C85" w:rsidRPr="0062173B" w:rsidRDefault="00027C85" w:rsidP="00E948E0">
            <w:pPr>
              <w:pStyle w:val="NoSpacing"/>
              <w:jc w:val="both"/>
              <w:rPr>
                <w:rFonts w:asciiTheme="minorHAnsi" w:hAnsiTheme="minorHAnsi" w:cstheme="minorHAnsi"/>
              </w:rPr>
            </w:pPr>
            <w:r w:rsidRPr="0062173B">
              <w:rPr>
                <w:rFonts w:asciiTheme="minorHAnsi" w:hAnsiTheme="minorHAnsi" w:cstheme="minorHAnsi"/>
              </w:rPr>
              <w:t>Document UC14/31, a report on the substantive issues of business discussed at the Audit Committee meeting on 31</w:t>
            </w:r>
            <w:r w:rsidRPr="0062173B">
              <w:rPr>
                <w:rFonts w:asciiTheme="minorHAnsi" w:hAnsiTheme="minorHAnsi" w:cstheme="minorHAnsi"/>
                <w:vertAlign w:val="superscript"/>
              </w:rPr>
              <w:t>st</w:t>
            </w:r>
            <w:r w:rsidRPr="0062173B">
              <w:rPr>
                <w:rFonts w:asciiTheme="minorHAnsi" w:hAnsiTheme="minorHAnsi" w:cstheme="minorHAnsi"/>
              </w:rPr>
              <w:t xml:space="preserve"> October 2014.</w:t>
            </w:r>
          </w:p>
        </w:tc>
      </w:tr>
    </w:tbl>
    <w:p w:rsidR="00027C85" w:rsidRPr="0062173B" w:rsidRDefault="00027C85" w:rsidP="00027C85">
      <w:pPr>
        <w:pStyle w:val="NoSpacing"/>
        <w:jc w:val="both"/>
        <w:rPr>
          <w:rFonts w:asciiTheme="minorHAnsi" w:hAnsiTheme="minorHAnsi" w:cstheme="minorHAnsi"/>
          <w:b/>
        </w:rPr>
      </w:pPr>
    </w:p>
    <w:p w:rsidR="00027C85" w:rsidRPr="0062173B" w:rsidRDefault="00027C85" w:rsidP="00027C85">
      <w:pPr>
        <w:pStyle w:val="NoSpacing"/>
        <w:jc w:val="both"/>
        <w:rPr>
          <w:rFonts w:asciiTheme="minorHAnsi" w:hAnsiTheme="minorHAnsi" w:cstheme="minorHAnsi"/>
          <w:b/>
        </w:rPr>
      </w:pPr>
      <w:r w:rsidRPr="0062173B">
        <w:rPr>
          <w:rFonts w:asciiTheme="minorHAnsi" w:hAnsiTheme="minorHAnsi" w:cstheme="minorHAnsi"/>
          <w:b/>
        </w:rPr>
        <w:t>Audit Committee Annual Report to 31</w:t>
      </w:r>
      <w:r w:rsidRPr="0062173B">
        <w:rPr>
          <w:rFonts w:asciiTheme="minorHAnsi" w:hAnsiTheme="minorHAnsi" w:cstheme="minorHAnsi"/>
          <w:b/>
          <w:vertAlign w:val="superscript"/>
        </w:rPr>
        <w:t>st</w:t>
      </w:r>
      <w:r w:rsidRPr="0062173B">
        <w:rPr>
          <w:rFonts w:asciiTheme="minorHAnsi" w:hAnsiTheme="minorHAnsi" w:cstheme="minorHAnsi"/>
          <w:b/>
        </w:rPr>
        <w:t xml:space="preserve"> July 2014</w:t>
      </w:r>
    </w:p>
    <w:p w:rsidR="00027C85" w:rsidRPr="0062173B" w:rsidRDefault="00027C85" w:rsidP="00027C85">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027C85" w:rsidRPr="0062173B" w:rsidTr="002D2034">
        <w:tc>
          <w:tcPr>
            <w:tcW w:w="959" w:type="dxa"/>
          </w:tcPr>
          <w:p w:rsidR="00027C85" w:rsidRPr="0062173B" w:rsidRDefault="00027C85" w:rsidP="00027C85">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14.66</w:t>
            </w:r>
          </w:p>
        </w:tc>
        <w:tc>
          <w:tcPr>
            <w:tcW w:w="1276" w:type="dxa"/>
          </w:tcPr>
          <w:p w:rsidR="00027C85" w:rsidRPr="0062173B" w:rsidRDefault="00027C85"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Considered</w:t>
            </w:r>
          </w:p>
        </w:tc>
        <w:tc>
          <w:tcPr>
            <w:tcW w:w="708" w:type="dxa"/>
          </w:tcPr>
          <w:p w:rsidR="00027C85" w:rsidRPr="0062173B" w:rsidRDefault="00027C85" w:rsidP="00B66982">
            <w:pPr>
              <w:pStyle w:val="BodyText"/>
              <w:jc w:val="both"/>
              <w:rPr>
                <w:rFonts w:asciiTheme="minorHAnsi" w:hAnsiTheme="minorHAnsi" w:cstheme="minorHAnsi"/>
                <w:sz w:val="22"/>
                <w:szCs w:val="22"/>
              </w:rPr>
            </w:pPr>
          </w:p>
        </w:tc>
        <w:tc>
          <w:tcPr>
            <w:tcW w:w="7655" w:type="dxa"/>
          </w:tcPr>
          <w:p w:rsidR="00027C85" w:rsidRPr="0062173B" w:rsidRDefault="00027C85" w:rsidP="00027C85">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Document UC14/32, the Audit Committee Annual Report to 31</w:t>
            </w:r>
            <w:r w:rsidRPr="0062173B">
              <w:rPr>
                <w:rFonts w:asciiTheme="minorHAnsi" w:hAnsiTheme="minorHAnsi" w:cstheme="minorHAnsi"/>
                <w:b w:val="0"/>
                <w:sz w:val="22"/>
                <w:szCs w:val="22"/>
                <w:vertAlign w:val="superscript"/>
              </w:rPr>
              <w:t>st</w:t>
            </w:r>
            <w:r w:rsidRPr="0062173B">
              <w:rPr>
                <w:rFonts w:asciiTheme="minorHAnsi" w:hAnsiTheme="minorHAnsi" w:cstheme="minorHAnsi"/>
                <w:b w:val="0"/>
                <w:sz w:val="22"/>
                <w:szCs w:val="22"/>
              </w:rPr>
              <w:t xml:space="preserve"> July 2014.</w:t>
            </w:r>
          </w:p>
        </w:tc>
      </w:tr>
      <w:tr w:rsidR="00027C85" w:rsidRPr="0062173B" w:rsidTr="002D2034">
        <w:tc>
          <w:tcPr>
            <w:tcW w:w="959" w:type="dxa"/>
          </w:tcPr>
          <w:p w:rsidR="00027C85" w:rsidRPr="0062173B" w:rsidRDefault="00027C85" w:rsidP="00B66982">
            <w:pPr>
              <w:pStyle w:val="BodyText"/>
              <w:jc w:val="both"/>
              <w:rPr>
                <w:rFonts w:asciiTheme="minorHAnsi" w:hAnsiTheme="minorHAnsi" w:cstheme="minorHAnsi"/>
                <w:b w:val="0"/>
                <w:sz w:val="22"/>
                <w:szCs w:val="22"/>
              </w:rPr>
            </w:pPr>
          </w:p>
        </w:tc>
        <w:tc>
          <w:tcPr>
            <w:tcW w:w="1276" w:type="dxa"/>
          </w:tcPr>
          <w:p w:rsidR="00027C85" w:rsidRPr="0062173B" w:rsidRDefault="00027C85" w:rsidP="00B66982">
            <w:pPr>
              <w:pStyle w:val="BodyText"/>
              <w:jc w:val="both"/>
              <w:rPr>
                <w:rFonts w:asciiTheme="minorHAnsi" w:hAnsiTheme="minorHAnsi" w:cstheme="minorHAnsi"/>
                <w:b w:val="0"/>
                <w:sz w:val="22"/>
                <w:szCs w:val="22"/>
              </w:rPr>
            </w:pPr>
          </w:p>
        </w:tc>
        <w:tc>
          <w:tcPr>
            <w:tcW w:w="708" w:type="dxa"/>
          </w:tcPr>
          <w:p w:rsidR="00027C85" w:rsidRPr="0062173B" w:rsidRDefault="00027C85" w:rsidP="00B66982">
            <w:pPr>
              <w:pStyle w:val="BodyText"/>
              <w:jc w:val="both"/>
              <w:rPr>
                <w:rFonts w:asciiTheme="minorHAnsi" w:hAnsiTheme="minorHAnsi" w:cstheme="minorHAnsi"/>
                <w:sz w:val="22"/>
                <w:szCs w:val="22"/>
              </w:rPr>
            </w:pPr>
          </w:p>
        </w:tc>
        <w:tc>
          <w:tcPr>
            <w:tcW w:w="7655" w:type="dxa"/>
          </w:tcPr>
          <w:p w:rsidR="00027C85" w:rsidRPr="0062173B" w:rsidRDefault="00027C85" w:rsidP="00B66982">
            <w:pPr>
              <w:pStyle w:val="BodyText"/>
              <w:jc w:val="both"/>
              <w:rPr>
                <w:rFonts w:asciiTheme="minorHAnsi" w:hAnsiTheme="minorHAnsi" w:cstheme="minorHAnsi"/>
                <w:b w:val="0"/>
                <w:sz w:val="22"/>
                <w:szCs w:val="22"/>
              </w:rPr>
            </w:pPr>
          </w:p>
        </w:tc>
      </w:tr>
      <w:tr w:rsidR="00027C85" w:rsidRPr="0062173B" w:rsidTr="002D2034">
        <w:tc>
          <w:tcPr>
            <w:tcW w:w="959" w:type="dxa"/>
          </w:tcPr>
          <w:p w:rsidR="00027C85" w:rsidRPr="0062173B" w:rsidRDefault="00027C85" w:rsidP="00027C85">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14.67</w:t>
            </w:r>
          </w:p>
        </w:tc>
        <w:tc>
          <w:tcPr>
            <w:tcW w:w="1276" w:type="dxa"/>
          </w:tcPr>
          <w:p w:rsidR="00027C85" w:rsidRPr="0062173B" w:rsidRDefault="00027C85"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Noted</w:t>
            </w:r>
          </w:p>
        </w:tc>
        <w:tc>
          <w:tcPr>
            <w:tcW w:w="708" w:type="dxa"/>
          </w:tcPr>
          <w:p w:rsidR="00027C85" w:rsidRPr="0062173B" w:rsidRDefault="00027C85" w:rsidP="00B66982">
            <w:pPr>
              <w:pStyle w:val="BodyText"/>
              <w:jc w:val="both"/>
              <w:rPr>
                <w:rFonts w:asciiTheme="minorHAnsi" w:hAnsiTheme="minorHAnsi" w:cstheme="minorHAnsi"/>
                <w:b w:val="0"/>
                <w:sz w:val="22"/>
                <w:szCs w:val="22"/>
              </w:rPr>
            </w:pPr>
          </w:p>
        </w:tc>
        <w:tc>
          <w:tcPr>
            <w:tcW w:w="7655" w:type="dxa"/>
          </w:tcPr>
          <w:p w:rsidR="00027C85" w:rsidRPr="0062173B" w:rsidRDefault="00027C85" w:rsidP="00027C85">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The report, which would be submitted to the SFC, set out the work undertaken by the Committee to fulfil its terms of reference and comply with the SFC’s requirements.   The report had been approved by the Audit Committee at its meeting on 31</w:t>
            </w:r>
            <w:r w:rsidRPr="0062173B">
              <w:rPr>
                <w:rFonts w:asciiTheme="minorHAnsi" w:hAnsiTheme="minorHAnsi" w:cstheme="minorHAnsi"/>
                <w:b w:val="0"/>
                <w:sz w:val="22"/>
                <w:szCs w:val="22"/>
                <w:vertAlign w:val="superscript"/>
              </w:rPr>
              <w:t>st</w:t>
            </w:r>
            <w:r w:rsidRPr="0062173B">
              <w:rPr>
                <w:rFonts w:asciiTheme="minorHAnsi" w:hAnsiTheme="minorHAnsi" w:cstheme="minorHAnsi"/>
                <w:b w:val="0"/>
                <w:sz w:val="22"/>
                <w:szCs w:val="22"/>
              </w:rPr>
              <w:t xml:space="preserve"> October 2014. </w:t>
            </w:r>
          </w:p>
        </w:tc>
      </w:tr>
      <w:tr w:rsidR="00027C85" w:rsidRPr="0062173B" w:rsidTr="002D2034">
        <w:tc>
          <w:tcPr>
            <w:tcW w:w="959" w:type="dxa"/>
          </w:tcPr>
          <w:p w:rsidR="00027C85" w:rsidRPr="0062173B" w:rsidRDefault="00027C85" w:rsidP="00B66982">
            <w:pPr>
              <w:pStyle w:val="BodyText"/>
              <w:jc w:val="both"/>
              <w:rPr>
                <w:rFonts w:asciiTheme="minorHAnsi" w:hAnsiTheme="minorHAnsi" w:cstheme="minorHAnsi"/>
                <w:b w:val="0"/>
                <w:sz w:val="22"/>
                <w:szCs w:val="22"/>
              </w:rPr>
            </w:pPr>
          </w:p>
        </w:tc>
        <w:tc>
          <w:tcPr>
            <w:tcW w:w="1276" w:type="dxa"/>
          </w:tcPr>
          <w:p w:rsidR="00027C85" w:rsidRPr="0062173B" w:rsidRDefault="00027C85" w:rsidP="00B66982">
            <w:pPr>
              <w:pStyle w:val="BodyText"/>
              <w:jc w:val="both"/>
              <w:rPr>
                <w:rFonts w:asciiTheme="minorHAnsi" w:hAnsiTheme="minorHAnsi" w:cstheme="minorHAnsi"/>
                <w:b w:val="0"/>
                <w:sz w:val="22"/>
                <w:szCs w:val="22"/>
              </w:rPr>
            </w:pPr>
          </w:p>
        </w:tc>
        <w:tc>
          <w:tcPr>
            <w:tcW w:w="708" w:type="dxa"/>
          </w:tcPr>
          <w:p w:rsidR="00027C85" w:rsidRPr="0062173B" w:rsidRDefault="00027C85" w:rsidP="00B66982">
            <w:pPr>
              <w:pStyle w:val="BodyText"/>
              <w:jc w:val="both"/>
              <w:rPr>
                <w:rFonts w:asciiTheme="minorHAnsi" w:hAnsiTheme="minorHAnsi" w:cstheme="minorHAnsi"/>
                <w:b w:val="0"/>
                <w:sz w:val="22"/>
                <w:szCs w:val="22"/>
              </w:rPr>
            </w:pPr>
          </w:p>
        </w:tc>
        <w:tc>
          <w:tcPr>
            <w:tcW w:w="7655" w:type="dxa"/>
          </w:tcPr>
          <w:p w:rsidR="00027C85" w:rsidRPr="0062173B" w:rsidRDefault="00027C85" w:rsidP="00B66982">
            <w:pPr>
              <w:pStyle w:val="BodyText"/>
              <w:jc w:val="both"/>
              <w:rPr>
                <w:rFonts w:asciiTheme="minorHAnsi" w:hAnsiTheme="minorHAnsi" w:cstheme="minorHAnsi"/>
                <w:b w:val="0"/>
                <w:sz w:val="22"/>
                <w:szCs w:val="22"/>
              </w:rPr>
            </w:pPr>
          </w:p>
        </w:tc>
      </w:tr>
      <w:tr w:rsidR="00027C85" w:rsidRPr="0062173B" w:rsidTr="002D2034">
        <w:tc>
          <w:tcPr>
            <w:tcW w:w="959" w:type="dxa"/>
          </w:tcPr>
          <w:p w:rsidR="00027C85" w:rsidRPr="0062173B" w:rsidRDefault="00027C85" w:rsidP="00027C85">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14.68</w:t>
            </w:r>
          </w:p>
        </w:tc>
        <w:tc>
          <w:tcPr>
            <w:tcW w:w="1276" w:type="dxa"/>
          </w:tcPr>
          <w:p w:rsidR="00027C85" w:rsidRPr="0062173B" w:rsidRDefault="00027C85"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Agreed</w:t>
            </w:r>
          </w:p>
        </w:tc>
        <w:tc>
          <w:tcPr>
            <w:tcW w:w="708" w:type="dxa"/>
          </w:tcPr>
          <w:p w:rsidR="00027C85" w:rsidRPr="0062173B" w:rsidRDefault="00027C85" w:rsidP="00B66982">
            <w:pPr>
              <w:pStyle w:val="BodyText"/>
              <w:jc w:val="both"/>
              <w:rPr>
                <w:rFonts w:asciiTheme="minorHAnsi" w:hAnsiTheme="minorHAnsi" w:cstheme="minorHAnsi"/>
                <w:b w:val="0"/>
                <w:sz w:val="22"/>
                <w:szCs w:val="22"/>
              </w:rPr>
            </w:pPr>
          </w:p>
        </w:tc>
        <w:tc>
          <w:tcPr>
            <w:tcW w:w="7655" w:type="dxa"/>
          </w:tcPr>
          <w:p w:rsidR="00027C85" w:rsidRPr="0062173B" w:rsidRDefault="00027C85" w:rsidP="00027C85">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To approve the Audit Committee draft annual report to 31</w:t>
            </w:r>
            <w:r w:rsidRPr="0062173B">
              <w:rPr>
                <w:rFonts w:asciiTheme="minorHAnsi" w:hAnsiTheme="minorHAnsi" w:cstheme="minorHAnsi"/>
                <w:b w:val="0"/>
                <w:sz w:val="22"/>
                <w:szCs w:val="22"/>
                <w:vertAlign w:val="superscript"/>
              </w:rPr>
              <w:t>st</w:t>
            </w:r>
            <w:r w:rsidRPr="0062173B">
              <w:rPr>
                <w:rFonts w:asciiTheme="minorHAnsi" w:hAnsiTheme="minorHAnsi" w:cstheme="minorHAnsi"/>
                <w:b w:val="0"/>
                <w:sz w:val="22"/>
                <w:szCs w:val="22"/>
              </w:rPr>
              <w:t xml:space="preserve"> July 2014.</w:t>
            </w:r>
          </w:p>
        </w:tc>
      </w:tr>
    </w:tbl>
    <w:p w:rsidR="00027C85" w:rsidRPr="0062173B" w:rsidRDefault="00027C85" w:rsidP="00754C04">
      <w:pPr>
        <w:pStyle w:val="NoSpacing"/>
        <w:jc w:val="both"/>
        <w:rPr>
          <w:rFonts w:asciiTheme="minorHAnsi" w:hAnsiTheme="minorHAnsi" w:cstheme="minorHAnsi"/>
          <w:b/>
        </w:rPr>
      </w:pPr>
    </w:p>
    <w:p w:rsidR="00216469" w:rsidRPr="0062173B" w:rsidRDefault="00216469" w:rsidP="00754C04">
      <w:pPr>
        <w:pStyle w:val="NoSpacing"/>
        <w:jc w:val="both"/>
        <w:rPr>
          <w:rFonts w:asciiTheme="minorHAnsi" w:hAnsiTheme="minorHAnsi" w:cstheme="minorHAnsi"/>
          <w:b/>
        </w:rPr>
      </w:pPr>
      <w:r w:rsidRPr="0062173B">
        <w:rPr>
          <w:rFonts w:asciiTheme="minorHAnsi" w:hAnsiTheme="minorHAnsi" w:cstheme="minorHAnsi"/>
          <w:b/>
        </w:rPr>
        <w:t>GCU Corporate Risk Register &amp; Risk Management Update</w:t>
      </w:r>
    </w:p>
    <w:p w:rsidR="00027C85" w:rsidRPr="0062173B" w:rsidRDefault="00027C85"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216469" w:rsidRPr="0062173B" w:rsidTr="002D2034">
        <w:tc>
          <w:tcPr>
            <w:tcW w:w="959" w:type="dxa"/>
          </w:tcPr>
          <w:p w:rsidR="00216469" w:rsidRPr="0062173B" w:rsidRDefault="00216469"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14.69</w:t>
            </w:r>
          </w:p>
        </w:tc>
        <w:tc>
          <w:tcPr>
            <w:tcW w:w="1276" w:type="dxa"/>
          </w:tcPr>
          <w:p w:rsidR="00216469" w:rsidRPr="0062173B" w:rsidRDefault="00216469"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Considered</w:t>
            </w:r>
          </w:p>
        </w:tc>
        <w:tc>
          <w:tcPr>
            <w:tcW w:w="708" w:type="dxa"/>
          </w:tcPr>
          <w:p w:rsidR="00216469" w:rsidRPr="0062173B" w:rsidRDefault="00216469" w:rsidP="00B66982">
            <w:pPr>
              <w:pStyle w:val="BodyText"/>
              <w:jc w:val="both"/>
              <w:rPr>
                <w:rFonts w:asciiTheme="minorHAnsi" w:hAnsiTheme="minorHAnsi" w:cstheme="minorHAnsi"/>
                <w:sz w:val="22"/>
                <w:szCs w:val="22"/>
              </w:rPr>
            </w:pPr>
          </w:p>
        </w:tc>
        <w:tc>
          <w:tcPr>
            <w:tcW w:w="7655" w:type="dxa"/>
          </w:tcPr>
          <w:p w:rsidR="00216469" w:rsidRPr="0062173B" w:rsidRDefault="00216469" w:rsidP="00340B4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 xml:space="preserve">Document UC14/33, </w:t>
            </w:r>
            <w:r w:rsidR="00340B42" w:rsidRPr="0062173B">
              <w:rPr>
                <w:rFonts w:asciiTheme="minorHAnsi" w:hAnsiTheme="minorHAnsi" w:cstheme="minorHAnsi"/>
                <w:b w:val="0"/>
                <w:sz w:val="22"/>
                <w:szCs w:val="22"/>
              </w:rPr>
              <w:t xml:space="preserve">the GCU Corporate Risk Register and a summary of the most recent risk management activities. </w:t>
            </w:r>
          </w:p>
        </w:tc>
      </w:tr>
      <w:tr w:rsidR="00340B42" w:rsidRPr="0062173B" w:rsidTr="002D2034">
        <w:tc>
          <w:tcPr>
            <w:tcW w:w="959" w:type="dxa"/>
          </w:tcPr>
          <w:p w:rsidR="00340B42" w:rsidRPr="0062173B" w:rsidRDefault="00340B42" w:rsidP="00B66982">
            <w:pPr>
              <w:pStyle w:val="BodyText"/>
              <w:jc w:val="both"/>
              <w:rPr>
                <w:rFonts w:asciiTheme="minorHAnsi" w:hAnsiTheme="minorHAnsi" w:cstheme="minorHAnsi"/>
                <w:b w:val="0"/>
                <w:sz w:val="22"/>
                <w:szCs w:val="22"/>
              </w:rPr>
            </w:pPr>
          </w:p>
        </w:tc>
        <w:tc>
          <w:tcPr>
            <w:tcW w:w="1276" w:type="dxa"/>
          </w:tcPr>
          <w:p w:rsidR="00340B42" w:rsidRPr="0062173B" w:rsidRDefault="00340B42" w:rsidP="00B66982">
            <w:pPr>
              <w:pStyle w:val="BodyText"/>
              <w:jc w:val="both"/>
              <w:rPr>
                <w:rFonts w:asciiTheme="minorHAnsi" w:hAnsiTheme="minorHAnsi" w:cstheme="minorHAnsi"/>
                <w:b w:val="0"/>
                <w:sz w:val="22"/>
                <w:szCs w:val="22"/>
              </w:rPr>
            </w:pPr>
          </w:p>
        </w:tc>
        <w:tc>
          <w:tcPr>
            <w:tcW w:w="708" w:type="dxa"/>
          </w:tcPr>
          <w:p w:rsidR="00340B42" w:rsidRPr="0062173B" w:rsidRDefault="00340B42" w:rsidP="00B66982">
            <w:pPr>
              <w:pStyle w:val="BodyText"/>
              <w:jc w:val="both"/>
              <w:rPr>
                <w:rFonts w:asciiTheme="minorHAnsi" w:hAnsiTheme="minorHAnsi" w:cstheme="minorHAnsi"/>
                <w:sz w:val="22"/>
                <w:szCs w:val="22"/>
              </w:rPr>
            </w:pPr>
          </w:p>
        </w:tc>
        <w:tc>
          <w:tcPr>
            <w:tcW w:w="7655" w:type="dxa"/>
          </w:tcPr>
          <w:p w:rsidR="00340B42" w:rsidRPr="0062173B" w:rsidRDefault="00340B42" w:rsidP="00340B42">
            <w:pPr>
              <w:pStyle w:val="BodyText"/>
              <w:jc w:val="both"/>
              <w:rPr>
                <w:rFonts w:asciiTheme="minorHAnsi" w:hAnsiTheme="minorHAnsi" w:cstheme="minorHAnsi"/>
                <w:b w:val="0"/>
                <w:sz w:val="22"/>
                <w:szCs w:val="22"/>
              </w:rPr>
            </w:pPr>
          </w:p>
        </w:tc>
      </w:tr>
      <w:tr w:rsidR="00340B42" w:rsidRPr="0062173B" w:rsidTr="002D2034">
        <w:tc>
          <w:tcPr>
            <w:tcW w:w="959" w:type="dxa"/>
          </w:tcPr>
          <w:p w:rsidR="00340B42" w:rsidRPr="0062173B" w:rsidRDefault="00340B42"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14.70</w:t>
            </w:r>
          </w:p>
        </w:tc>
        <w:tc>
          <w:tcPr>
            <w:tcW w:w="1276" w:type="dxa"/>
          </w:tcPr>
          <w:p w:rsidR="00340B42" w:rsidRPr="0062173B" w:rsidRDefault="00340B42"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Reported</w:t>
            </w:r>
          </w:p>
        </w:tc>
        <w:tc>
          <w:tcPr>
            <w:tcW w:w="708" w:type="dxa"/>
          </w:tcPr>
          <w:p w:rsidR="00340B42" w:rsidRPr="0062173B" w:rsidRDefault="00340B42" w:rsidP="00B66982">
            <w:pPr>
              <w:pStyle w:val="BodyText"/>
              <w:jc w:val="both"/>
              <w:rPr>
                <w:rFonts w:asciiTheme="minorHAnsi" w:hAnsiTheme="minorHAnsi" w:cstheme="minorHAnsi"/>
                <w:sz w:val="22"/>
                <w:szCs w:val="22"/>
              </w:rPr>
            </w:pPr>
          </w:p>
        </w:tc>
        <w:tc>
          <w:tcPr>
            <w:tcW w:w="7655" w:type="dxa"/>
          </w:tcPr>
          <w:p w:rsidR="00340B42" w:rsidRPr="0062173B" w:rsidRDefault="00340B42" w:rsidP="00B816E7">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In his introduction, the Chief Financial Officer and VP Infrastructure reminded Court that the risk register was a live document which was updated on a</w:t>
            </w:r>
            <w:r w:rsidR="00B816E7" w:rsidRPr="0062173B">
              <w:rPr>
                <w:rFonts w:asciiTheme="minorHAnsi" w:hAnsiTheme="minorHAnsi" w:cstheme="minorHAnsi"/>
                <w:b w:val="0"/>
                <w:sz w:val="22"/>
                <w:szCs w:val="22"/>
              </w:rPr>
              <w:t>n</w:t>
            </w:r>
            <w:r w:rsidRPr="0062173B">
              <w:rPr>
                <w:rFonts w:asciiTheme="minorHAnsi" w:hAnsiTheme="minorHAnsi" w:cstheme="minorHAnsi"/>
                <w:b w:val="0"/>
                <w:sz w:val="22"/>
                <w:szCs w:val="22"/>
              </w:rPr>
              <w:t xml:space="preserve"> ongoing basis. Following discussion at the Risk Management Forum and the Audit Committee </w:t>
            </w:r>
            <w:r w:rsidR="00B816E7" w:rsidRPr="0062173B">
              <w:rPr>
                <w:rFonts w:asciiTheme="minorHAnsi" w:hAnsiTheme="minorHAnsi" w:cstheme="minorHAnsi"/>
                <w:b w:val="0"/>
                <w:sz w:val="22"/>
                <w:szCs w:val="22"/>
              </w:rPr>
              <w:t>a number of revisions had been made.</w:t>
            </w:r>
          </w:p>
        </w:tc>
      </w:tr>
      <w:tr w:rsidR="00340B42" w:rsidRPr="0062173B" w:rsidTr="002D2034">
        <w:tc>
          <w:tcPr>
            <w:tcW w:w="959" w:type="dxa"/>
          </w:tcPr>
          <w:p w:rsidR="00340B42" w:rsidRPr="0062173B" w:rsidRDefault="00340B42" w:rsidP="00B66982">
            <w:pPr>
              <w:pStyle w:val="BodyText"/>
              <w:jc w:val="both"/>
              <w:rPr>
                <w:rFonts w:asciiTheme="minorHAnsi" w:hAnsiTheme="minorHAnsi" w:cstheme="minorHAnsi"/>
                <w:b w:val="0"/>
                <w:sz w:val="22"/>
                <w:szCs w:val="22"/>
              </w:rPr>
            </w:pPr>
          </w:p>
        </w:tc>
        <w:tc>
          <w:tcPr>
            <w:tcW w:w="1276" w:type="dxa"/>
          </w:tcPr>
          <w:p w:rsidR="00340B42" w:rsidRPr="0062173B" w:rsidRDefault="00340B42" w:rsidP="00B66982">
            <w:pPr>
              <w:pStyle w:val="BodyText"/>
              <w:jc w:val="both"/>
              <w:rPr>
                <w:rFonts w:asciiTheme="minorHAnsi" w:hAnsiTheme="minorHAnsi" w:cstheme="minorHAnsi"/>
                <w:b w:val="0"/>
                <w:sz w:val="22"/>
                <w:szCs w:val="22"/>
              </w:rPr>
            </w:pPr>
          </w:p>
        </w:tc>
        <w:tc>
          <w:tcPr>
            <w:tcW w:w="708" w:type="dxa"/>
          </w:tcPr>
          <w:p w:rsidR="00340B42" w:rsidRPr="0062173B" w:rsidRDefault="00340B42" w:rsidP="00B66982">
            <w:pPr>
              <w:pStyle w:val="BodyText"/>
              <w:jc w:val="both"/>
              <w:rPr>
                <w:rFonts w:asciiTheme="minorHAnsi" w:hAnsiTheme="minorHAnsi" w:cstheme="minorHAnsi"/>
                <w:sz w:val="22"/>
                <w:szCs w:val="22"/>
              </w:rPr>
            </w:pPr>
          </w:p>
        </w:tc>
        <w:tc>
          <w:tcPr>
            <w:tcW w:w="7655" w:type="dxa"/>
          </w:tcPr>
          <w:p w:rsidR="00340B42" w:rsidRPr="0062173B" w:rsidRDefault="00340B42" w:rsidP="00340B42">
            <w:pPr>
              <w:pStyle w:val="BodyText"/>
              <w:jc w:val="both"/>
              <w:rPr>
                <w:rFonts w:asciiTheme="minorHAnsi" w:hAnsiTheme="minorHAnsi" w:cstheme="minorHAnsi"/>
                <w:b w:val="0"/>
                <w:sz w:val="22"/>
                <w:szCs w:val="22"/>
              </w:rPr>
            </w:pPr>
          </w:p>
        </w:tc>
      </w:tr>
      <w:tr w:rsidR="00B816E7" w:rsidRPr="0062173B" w:rsidTr="002D2034">
        <w:tc>
          <w:tcPr>
            <w:tcW w:w="959" w:type="dxa"/>
          </w:tcPr>
          <w:p w:rsidR="00B816E7" w:rsidRPr="0062173B" w:rsidRDefault="00B816E7"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14.71</w:t>
            </w:r>
          </w:p>
        </w:tc>
        <w:tc>
          <w:tcPr>
            <w:tcW w:w="1276" w:type="dxa"/>
          </w:tcPr>
          <w:p w:rsidR="00B816E7" w:rsidRPr="0062173B" w:rsidRDefault="00B816E7"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Discussion</w:t>
            </w:r>
          </w:p>
        </w:tc>
        <w:tc>
          <w:tcPr>
            <w:tcW w:w="708" w:type="dxa"/>
          </w:tcPr>
          <w:p w:rsidR="00B816E7" w:rsidRPr="0062173B" w:rsidRDefault="005F1BFD" w:rsidP="00B66982">
            <w:pPr>
              <w:pStyle w:val="BodyText"/>
              <w:jc w:val="both"/>
              <w:rPr>
                <w:rFonts w:asciiTheme="minorHAnsi" w:hAnsiTheme="minorHAnsi" w:cstheme="minorHAnsi"/>
                <w:sz w:val="22"/>
                <w:szCs w:val="22"/>
              </w:rPr>
            </w:pPr>
            <w:proofErr w:type="spellStart"/>
            <w:r w:rsidRPr="0062173B">
              <w:rPr>
                <w:rFonts w:asciiTheme="minorHAnsi" w:hAnsiTheme="minorHAnsi" w:cstheme="minorHAnsi"/>
                <w:sz w:val="22"/>
                <w:szCs w:val="22"/>
              </w:rPr>
              <w:t>i</w:t>
            </w:r>
            <w:proofErr w:type="spellEnd"/>
            <w:r w:rsidRPr="0062173B">
              <w:rPr>
                <w:rFonts w:asciiTheme="minorHAnsi" w:hAnsiTheme="minorHAnsi" w:cstheme="minorHAnsi"/>
                <w:sz w:val="22"/>
                <w:szCs w:val="22"/>
              </w:rPr>
              <w:t>.</w:t>
            </w:r>
          </w:p>
        </w:tc>
        <w:tc>
          <w:tcPr>
            <w:tcW w:w="7655" w:type="dxa"/>
          </w:tcPr>
          <w:p w:rsidR="00B816E7" w:rsidRPr="0062173B" w:rsidRDefault="00B816E7" w:rsidP="001F7FF9">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 xml:space="preserve">Clarity was sought in relation to the descriptor for the risk regarding the Research Excellence Framework (REF) return.  It was noted that none of the mitigating actions could change the score as the REF had already been submitted.  However, the mitigating actions would be relevant to the continued </w:t>
            </w:r>
            <w:r w:rsidR="001F7FF9" w:rsidRPr="0062173B">
              <w:rPr>
                <w:rFonts w:asciiTheme="minorHAnsi" w:hAnsiTheme="minorHAnsi" w:cstheme="minorHAnsi"/>
                <w:b w:val="0"/>
                <w:sz w:val="22"/>
                <w:szCs w:val="22"/>
              </w:rPr>
              <w:t xml:space="preserve">development of the University's research strategy. </w:t>
            </w:r>
          </w:p>
        </w:tc>
      </w:tr>
      <w:tr w:rsidR="00C16536" w:rsidRPr="0062173B" w:rsidTr="002D2034">
        <w:tc>
          <w:tcPr>
            <w:tcW w:w="959" w:type="dxa"/>
          </w:tcPr>
          <w:p w:rsidR="00C16536" w:rsidRPr="0062173B" w:rsidRDefault="00C16536" w:rsidP="00B66982">
            <w:pPr>
              <w:pStyle w:val="BodyText"/>
              <w:jc w:val="both"/>
              <w:rPr>
                <w:rFonts w:asciiTheme="minorHAnsi" w:hAnsiTheme="minorHAnsi" w:cstheme="minorHAnsi"/>
                <w:b w:val="0"/>
                <w:sz w:val="22"/>
                <w:szCs w:val="22"/>
              </w:rPr>
            </w:pPr>
          </w:p>
        </w:tc>
        <w:tc>
          <w:tcPr>
            <w:tcW w:w="1276" w:type="dxa"/>
          </w:tcPr>
          <w:p w:rsidR="00C16536" w:rsidRPr="0062173B" w:rsidRDefault="00C16536" w:rsidP="00B66982">
            <w:pPr>
              <w:pStyle w:val="BodyText"/>
              <w:jc w:val="both"/>
              <w:rPr>
                <w:rFonts w:asciiTheme="minorHAnsi" w:hAnsiTheme="minorHAnsi" w:cstheme="minorHAnsi"/>
                <w:b w:val="0"/>
                <w:sz w:val="22"/>
                <w:szCs w:val="22"/>
              </w:rPr>
            </w:pPr>
          </w:p>
        </w:tc>
        <w:tc>
          <w:tcPr>
            <w:tcW w:w="708" w:type="dxa"/>
          </w:tcPr>
          <w:p w:rsidR="00C16536" w:rsidRPr="0062173B" w:rsidRDefault="00C16536" w:rsidP="00B66982">
            <w:pPr>
              <w:pStyle w:val="BodyText"/>
              <w:jc w:val="both"/>
              <w:rPr>
                <w:rFonts w:asciiTheme="minorHAnsi" w:hAnsiTheme="minorHAnsi" w:cstheme="minorHAnsi"/>
                <w:sz w:val="22"/>
                <w:szCs w:val="22"/>
              </w:rPr>
            </w:pPr>
          </w:p>
        </w:tc>
        <w:tc>
          <w:tcPr>
            <w:tcW w:w="7655" w:type="dxa"/>
          </w:tcPr>
          <w:p w:rsidR="00C16536" w:rsidRPr="0062173B" w:rsidRDefault="00C16536" w:rsidP="001F7FF9">
            <w:pPr>
              <w:pStyle w:val="BodyText"/>
              <w:jc w:val="both"/>
              <w:rPr>
                <w:rFonts w:asciiTheme="minorHAnsi" w:hAnsiTheme="minorHAnsi" w:cstheme="minorHAnsi"/>
                <w:b w:val="0"/>
                <w:sz w:val="22"/>
                <w:szCs w:val="22"/>
              </w:rPr>
            </w:pPr>
          </w:p>
        </w:tc>
      </w:tr>
      <w:tr w:rsidR="00C16536" w:rsidRPr="0062173B" w:rsidTr="002D2034">
        <w:tc>
          <w:tcPr>
            <w:tcW w:w="959" w:type="dxa"/>
          </w:tcPr>
          <w:p w:rsidR="00C16536" w:rsidRPr="0062173B" w:rsidRDefault="00C16536" w:rsidP="00B66982">
            <w:pPr>
              <w:pStyle w:val="BodyText"/>
              <w:jc w:val="both"/>
              <w:rPr>
                <w:rFonts w:asciiTheme="minorHAnsi" w:hAnsiTheme="minorHAnsi" w:cstheme="minorHAnsi"/>
                <w:b w:val="0"/>
                <w:sz w:val="22"/>
                <w:szCs w:val="22"/>
              </w:rPr>
            </w:pPr>
          </w:p>
        </w:tc>
        <w:tc>
          <w:tcPr>
            <w:tcW w:w="1276" w:type="dxa"/>
          </w:tcPr>
          <w:p w:rsidR="00C16536" w:rsidRPr="0062173B" w:rsidRDefault="00C16536" w:rsidP="00B66982">
            <w:pPr>
              <w:pStyle w:val="BodyText"/>
              <w:jc w:val="both"/>
              <w:rPr>
                <w:rFonts w:asciiTheme="minorHAnsi" w:hAnsiTheme="minorHAnsi" w:cstheme="minorHAnsi"/>
                <w:b w:val="0"/>
                <w:sz w:val="22"/>
                <w:szCs w:val="22"/>
              </w:rPr>
            </w:pPr>
          </w:p>
        </w:tc>
        <w:tc>
          <w:tcPr>
            <w:tcW w:w="708" w:type="dxa"/>
          </w:tcPr>
          <w:p w:rsidR="00C16536" w:rsidRPr="0062173B" w:rsidRDefault="005F1BFD" w:rsidP="00B66982">
            <w:pPr>
              <w:pStyle w:val="BodyText"/>
              <w:jc w:val="both"/>
              <w:rPr>
                <w:rFonts w:asciiTheme="minorHAnsi" w:hAnsiTheme="minorHAnsi" w:cstheme="minorHAnsi"/>
                <w:sz w:val="22"/>
                <w:szCs w:val="22"/>
              </w:rPr>
            </w:pPr>
            <w:r w:rsidRPr="0062173B">
              <w:rPr>
                <w:rFonts w:asciiTheme="minorHAnsi" w:hAnsiTheme="minorHAnsi" w:cstheme="minorHAnsi"/>
                <w:sz w:val="22"/>
                <w:szCs w:val="22"/>
              </w:rPr>
              <w:t>ii.</w:t>
            </w:r>
          </w:p>
        </w:tc>
        <w:tc>
          <w:tcPr>
            <w:tcW w:w="7655" w:type="dxa"/>
          </w:tcPr>
          <w:p w:rsidR="00C16536" w:rsidRPr="0062173B" w:rsidRDefault="00C16536" w:rsidP="008209D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In response to a query about the mechanism for informing Court about the progress of the Heart of the Campus, it was noted that</w:t>
            </w:r>
            <w:r w:rsidR="008209D2" w:rsidRPr="0062173B">
              <w:rPr>
                <w:rFonts w:asciiTheme="minorHAnsi" w:hAnsiTheme="minorHAnsi" w:cstheme="minorHAnsi"/>
                <w:b w:val="0"/>
                <w:sz w:val="22"/>
                <w:szCs w:val="22"/>
              </w:rPr>
              <w:t xml:space="preserve"> were there to be any significant slippage this would</w:t>
            </w:r>
            <w:r w:rsidRPr="0062173B">
              <w:rPr>
                <w:rFonts w:asciiTheme="minorHAnsi" w:hAnsiTheme="minorHAnsi" w:cstheme="minorHAnsi"/>
                <w:b w:val="0"/>
                <w:sz w:val="22"/>
                <w:szCs w:val="22"/>
              </w:rPr>
              <w:t xml:space="preserve"> </w:t>
            </w:r>
            <w:r w:rsidR="008209D2" w:rsidRPr="0062173B">
              <w:rPr>
                <w:rFonts w:asciiTheme="minorHAnsi" w:hAnsiTheme="minorHAnsi" w:cstheme="minorHAnsi"/>
                <w:b w:val="0"/>
                <w:sz w:val="22"/>
                <w:szCs w:val="22"/>
              </w:rPr>
              <w:t xml:space="preserve">be </w:t>
            </w:r>
            <w:r w:rsidRPr="0062173B">
              <w:rPr>
                <w:rFonts w:asciiTheme="minorHAnsi" w:hAnsiTheme="minorHAnsi" w:cstheme="minorHAnsi"/>
                <w:b w:val="0"/>
                <w:sz w:val="22"/>
                <w:szCs w:val="22"/>
              </w:rPr>
              <w:t xml:space="preserve">addressed in the regular </w:t>
            </w:r>
            <w:r w:rsidR="008209D2" w:rsidRPr="0062173B">
              <w:rPr>
                <w:rFonts w:asciiTheme="minorHAnsi" w:hAnsiTheme="minorHAnsi" w:cstheme="minorHAnsi"/>
                <w:b w:val="0"/>
                <w:sz w:val="22"/>
                <w:szCs w:val="22"/>
              </w:rPr>
              <w:t xml:space="preserve">F&amp;GPC </w:t>
            </w:r>
            <w:r w:rsidRPr="0062173B">
              <w:rPr>
                <w:rFonts w:asciiTheme="minorHAnsi" w:hAnsiTheme="minorHAnsi" w:cstheme="minorHAnsi"/>
                <w:b w:val="0"/>
                <w:sz w:val="22"/>
                <w:szCs w:val="22"/>
              </w:rPr>
              <w:t>report to</w:t>
            </w:r>
            <w:r w:rsidR="008209D2" w:rsidRPr="0062173B">
              <w:rPr>
                <w:rFonts w:asciiTheme="minorHAnsi" w:hAnsiTheme="minorHAnsi" w:cstheme="minorHAnsi"/>
                <w:b w:val="0"/>
                <w:sz w:val="22"/>
                <w:szCs w:val="22"/>
              </w:rPr>
              <w:t xml:space="preserve"> Court.</w:t>
            </w:r>
            <w:r w:rsidRPr="0062173B">
              <w:rPr>
                <w:rFonts w:asciiTheme="minorHAnsi" w:hAnsiTheme="minorHAnsi" w:cstheme="minorHAnsi"/>
                <w:b w:val="0"/>
                <w:sz w:val="22"/>
                <w:szCs w:val="22"/>
              </w:rPr>
              <w:t xml:space="preserve">   </w:t>
            </w:r>
          </w:p>
        </w:tc>
      </w:tr>
      <w:tr w:rsidR="001F7FF9" w:rsidRPr="0062173B" w:rsidTr="002D2034">
        <w:tc>
          <w:tcPr>
            <w:tcW w:w="959" w:type="dxa"/>
          </w:tcPr>
          <w:p w:rsidR="001F7FF9" w:rsidRPr="0062173B" w:rsidRDefault="001F7FF9" w:rsidP="00B66982">
            <w:pPr>
              <w:pStyle w:val="BodyText"/>
              <w:jc w:val="both"/>
              <w:rPr>
                <w:rFonts w:asciiTheme="minorHAnsi" w:hAnsiTheme="minorHAnsi" w:cstheme="minorHAnsi"/>
                <w:b w:val="0"/>
                <w:sz w:val="22"/>
                <w:szCs w:val="22"/>
              </w:rPr>
            </w:pPr>
          </w:p>
        </w:tc>
        <w:tc>
          <w:tcPr>
            <w:tcW w:w="1276" w:type="dxa"/>
          </w:tcPr>
          <w:p w:rsidR="001F7FF9" w:rsidRPr="0062173B" w:rsidRDefault="001F7FF9" w:rsidP="00B66982">
            <w:pPr>
              <w:pStyle w:val="BodyText"/>
              <w:jc w:val="both"/>
              <w:rPr>
                <w:rFonts w:asciiTheme="minorHAnsi" w:hAnsiTheme="minorHAnsi" w:cstheme="minorHAnsi"/>
                <w:b w:val="0"/>
                <w:sz w:val="22"/>
                <w:szCs w:val="22"/>
              </w:rPr>
            </w:pPr>
          </w:p>
        </w:tc>
        <w:tc>
          <w:tcPr>
            <w:tcW w:w="708" w:type="dxa"/>
          </w:tcPr>
          <w:p w:rsidR="001F7FF9" w:rsidRPr="0062173B" w:rsidRDefault="001F7FF9" w:rsidP="00B66982">
            <w:pPr>
              <w:pStyle w:val="BodyText"/>
              <w:jc w:val="both"/>
              <w:rPr>
                <w:rFonts w:asciiTheme="minorHAnsi" w:hAnsiTheme="minorHAnsi" w:cstheme="minorHAnsi"/>
                <w:sz w:val="22"/>
                <w:szCs w:val="22"/>
              </w:rPr>
            </w:pPr>
          </w:p>
        </w:tc>
        <w:tc>
          <w:tcPr>
            <w:tcW w:w="7655" w:type="dxa"/>
          </w:tcPr>
          <w:p w:rsidR="001F7FF9" w:rsidRPr="0062173B" w:rsidRDefault="001F7FF9" w:rsidP="001F7FF9">
            <w:pPr>
              <w:pStyle w:val="BodyText"/>
              <w:jc w:val="both"/>
              <w:rPr>
                <w:rFonts w:asciiTheme="minorHAnsi" w:hAnsiTheme="minorHAnsi" w:cstheme="minorHAnsi"/>
                <w:b w:val="0"/>
                <w:sz w:val="22"/>
                <w:szCs w:val="22"/>
              </w:rPr>
            </w:pPr>
          </w:p>
        </w:tc>
      </w:tr>
      <w:tr w:rsidR="001F7FF9" w:rsidRPr="0062173B" w:rsidTr="002D2034">
        <w:tc>
          <w:tcPr>
            <w:tcW w:w="959" w:type="dxa"/>
          </w:tcPr>
          <w:p w:rsidR="001F7FF9" w:rsidRPr="0062173B" w:rsidRDefault="001F7FF9"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14.72</w:t>
            </w:r>
          </w:p>
        </w:tc>
        <w:tc>
          <w:tcPr>
            <w:tcW w:w="1276" w:type="dxa"/>
          </w:tcPr>
          <w:p w:rsidR="001F7FF9" w:rsidRPr="0062173B" w:rsidRDefault="001F7FF9" w:rsidP="00B6698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Agreed</w:t>
            </w:r>
          </w:p>
        </w:tc>
        <w:tc>
          <w:tcPr>
            <w:tcW w:w="708" w:type="dxa"/>
          </w:tcPr>
          <w:p w:rsidR="001F7FF9" w:rsidRPr="0062173B" w:rsidRDefault="001F7FF9" w:rsidP="00B66982">
            <w:pPr>
              <w:pStyle w:val="BodyText"/>
              <w:jc w:val="both"/>
              <w:rPr>
                <w:rFonts w:asciiTheme="minorHAnsi" w:hAnsiTheme="minorHAnsi" w:cstheme="minorHAnsi"/>
                <w:b w:val="0"/>
                <w:sz w:val="22"/>
                <w:szCs w:val="22"/>
              </w:rPr>
            </w:pPr>
          </w:p>
        </w:tc>
        <w:tc>
          <w:tcPr>
            <w:tcW w:w="7655" w:type="dxa"/>
          </w:tcPr>
          <w:p w:rsidR="001F7FF9" w:rsidRPr="0062173B" w:rsidRDefault="008209D2" w:rsidP="008209D2">
            <w:pPr>
              <w:pStyle w:val="BodyText"/>
              <w:jc w:val="both"/>
              <w:rPr>
                <w:rFonts w:asciiTheme="minorHAnsi" w:hAnsiTheme="minorHAnsi" w:cstheme="minorHAnsi"/>
                <w:b w:val="0"/>
                <w:sz w:val="22"/>
                <w:szCs w:val="22"/>
              </w:rPr>
            </w:pPr>
            <w:r w:rsidRPr="0062173B">
              <w:rPr>
                <w:rFonts w:asciiTheme="minorHAnsi" w:hAnsiTheme="minorHAnsi" w:cstheme="minorHAnsi"/>
                <w:b w:val="0"/>
                <w:sz w:val="22"/>
                <w:szCs w:val="22"/>
              </w:rPr>
              <w:t>To approve the GCU Corporate Risk Register subject to the descriptor for the risk on the REF being clarified.</w:t>
            </w:r>
          </w:p>
        </w:tc>
      </w:tr>
    </w:tbl>
    <w:p w:rsidR="00216469" w:rsidRPr="0062173B" w:rsidRDefault="00216469" w:rsidP="00754C04">
      <w:pPr>
        <w:pStyle w:val="NoSpacing"/>
        <w:jc w:val="both"/>
        <w:rPr>
          <w:rFonts w:asciiTheme="minorHAnsi" w:hAnsiTheme="minorHAnsi" w:cstheme="minorHAnsi"/>
          <w:b/>
        </w:rPr>
      </w:pPr>
    </w:p>
    <w:p w:rsidR="002D2034" w:rsidRDefault="002D2034" w:rsidP="008209D2">
      <w:pPr>
        <w:pStyle w:val="NoSpacing"/>
        <w:jc w:val="both"/>
        <w:rPr>
          <w:rFonts w:asciiTheme="minorHAnsi" w:hAnsiTheme="minorHAnsi" w:cstheme="minorHAnsi"/>
          <w:b/>
        </w:rPr>
      </w:pPr>
    </w:p>
    <w:p w:rsidR="002D2034" w:rsidRDefault="002D2034" w:rsidP="008209D2">
      <w:pPr>
        <w:pStyle w:val="NoSpacing"/>
        <w:jc w:val="both"/>
        <w:rPr>
          <w:rFonts w:asciiTheme="minorHAnsi" w:hAnsiTheme="minorHAnsi" w:cstheme="minorHAnsi"/>
          <w:b/>
        </w:rPr>
      </w:pPr>
    </w:p>
    <w:p w:rsidR="008209D2" w:rsidRPr="0062173B" w:rsidRDefault="008209D2" w:rsidP="008209D2">
      <w:pPr>
        <w:pStyle w:val="NoSpacing"/>
        <w:jc w:val="both"/>
        <w:rPr>
          <w:rFonts w:asciiTheme="minorHAnsi" w:hAnsiTheme="minorHAnsi" w:cstheme="minorHAnsi"/>
          <w:b/>
        </w:rPr>
      </w:pPr>
      <w:r w:rsidRPr="0062173B">
        <w:rPr>
          <w:rFonts w:asciiTheme="minorHAnsi" w:hAnsiTheme="minorHAnsi" w:cstheme="minorHAnsi"/>
          <w:b/>
        </w:rPr>
        <w:lastRenderedPageBreak/>
        <w:t>Court Membership Committee Report: 3</w:t>
      </w:r>
      <w:r w:rsidRPr="0062173B">
        <w:rPr>
          <w:rFonts w:asciiTheme="minorHAnsi" w:hAnsiTheme="minorHAnsi" w:cstheme="minorHAnsi"/>
          <w:b/>
          <w:vertAlign w:val="superscript"/>
        </w:rPr>
        <w:t>rd</w:t>
      </w:r>
      <w:r w:rsidRPr="0062173B">
        <w:rPr>
          <w:rFonts w:asciiTheme="minorHAnsi" w:hAnsiTheme="minorHAnsi" w:cstheme="minorHAnsi"/>
          <w:b/>
        </w:rPr>
        <w:t xml:space="preserve"> November 2014</w:t>
      </w:r>
    </w:p>
    <w:p w:rsidR="008209D2" w:rsidRPr="0062173B" w:rsidRDefault="008209D2" w:rsidP="008209D2">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8209D2" w:rsidRPr="0062173B" w:rsidTr="002D2034">
        <w:tc>
          <w:tcPr>
            <w:tcW w:w="959" w:type="dxa"/>
          </w:tcPr>
          <w:p w:rsidR="008209D2" w:rsidRPr="0062173B" w:rsidRDefault="008209D2" w:rsidP="008209D2">
            <w:pPr>
              <w:pStyle w:val="NoSpacing"/>
              <w:jc w:val="both"/>
              <w:rPr>
                <w:rFonts w:asciiTheme="minorHAnsi" w:hAnsiTheme="minorHAnsi" w:cstheme="minorHAnsi"/>
              </w:rPr>
            </w:pPr>
            <w:r w:rsidRPr="0062173B">
              <w:rPr>
                <w:rFonts w:asciiTheme="minorHAnsi" w:hAnsiTheme="minorHAnsi" w:cstheme="minorHAnsi"/>
              </w:rPr>
              <w:t>14.73</w:t>
            </w:r>
          </w:p>
        </w:tc>
        <w:tc>
          <w:tcPr>
            <w:tcW w:w="1276" w:type="dxa"/>
          </w:tcPr>
          <w:p w:rsidR="008209D2" w:rsidRPr="0062173B" w:rsidRDefault="008209D2"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8209D2" w:rsidRPr="0062173B" w:rsidRDefault="008209D2" w:rsidP="00B66982">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8209D2" w:rsidRPr="0062173B" w:rsidRDefault="008209D2" w:rsidP="008209D2">
            <w:pPr>
              <w:pStyle w:val="NoSpacing"/>
              <w:jc w:val="both"/>
              <w:rPr>
                <w:rFonts w:asciiTheme="minorHAnsi" w:hAnsiTheme="minorHAnsi" w:cstheme="minorHAnsi"/>
              </w:rPr>
            </w:pPr>
            <w:r w:rsidRPr="0062173B">
              <w:rPr>
                <w:rFonts w:asciiTheme="minorHAnsi" w:hAnsiTheme="minorHAnsi" w:cstheme="minorHAnsi"/>
              </w:rPr>
              <w:t>Document UC14/34, a report on the substantive issues of business discussed at the Court Membership Committee meeting on 3</w:t>
            </w:r>
            <w:r w:rsidRPr="0062173B">
              <w:rPr>
                <w:rFonts w:asciiTheme="minorHAnsi" w:hAnsiTheme="minorHAnsi" w:cstheme="minorHAnsi"/>
                <w:vertAlign w:val="superscript"/>
              </w:rPr>
              <w:t>rd</w:t>
            </w:r>
            <w:r w:rsidRPr="0062173B">
              <w:rPr>
                <w:rFonts w:asciiTheme="minorHAnsi" w:hAnsiTheme="minorHAnsi" w:cstheme="minorHAnsi"/>
              </w:rPr>
              <w:t xml:space="preserve"> November 2014.</w:t>
            </w:r>
          </w:p>
        </w:tc>
      </w:tr>
      <w:tr w:rsidR="008209D2" w:rsidRPr="0062173B" w:rsidTr="002D2034">
        <w:tc>
          <w:tcPr>
            <w:tcW w:w="959" w:type="dxa"/>
          </w:tcPr>
          <w:p w:rsidR="008209D2" w:rsidRPr="0062173B" w:rsidRDefault="008209D2" w:rsidP="00B66982">
            <w:pPr>
              <w:pStyle w:val="NoSpacing"/>
              <w:jc w:val="both"/>
              <w:rPr>
                <w:rFonts w:asciiTheme="minorHAnsi" w:hAnsiTheme="minorHAnsi" w:cstheme="minorHAnsi"/>
              </w:rPr>
            </w:pPr>
          </w:p>
        </w:tc>
        <w:tc>
          <w:tcPr>
            <w:tcW w:w="1276" w:type="dxa"/>
          </w:tcPr>
          <w:p w:rsidR="008209D2" w:rsidRPr="0062173B" w:rsidRDefault="008209D2" w:rsidP="00B66982">
            <w:pPr>
              <w:pStyle w:val="NoSpacing"/>
              <w:jc w:val="both"/>
              <w:rPr>
                <w:rFonts w:asciiTheme="minorHAnsi" w:hAnsiTheme="minorHAnsi" w:cstheme="minorHAnsi"/>
              </w:rPr>
            </w:pPr>
          </w:p>
        </w:tc>
        <w:tc>
          <w:tcPr>
            <w:tcW w:w="708" w:type="dxa"/>
          </w:tcPr>
          <w:p w:rsidR="008209D2" w:rsidRPr="0062173B" w:rsidRDefault="008209D2" w:rsidP="00B66982">
            <w:pPr>
              <w:pStyle w:val="NoSpacing"/>
              <w:jc w:val="both"/>
              <w:rPr>
                <w:rFonts w:asciiTheme="minorHAnsi" w:hAnsiTheme="minorHAnsi" w:cstheme="minorHAnsi"/>
              </w:rPr>
            </w:pPr>
          </w:p>
        </w:tc>
        <w:tc>
          <w:tcPr>
            <w:tcW w:w="7655" w:type="dxa"/>
          </w:tcPr>
          <w:p w:rsidR="008209D2" w:rsidRPr="0062173B" w:rsidRDefault="008209D2" w:rsidP="00B66982">
            <w:pPr>
              <w:pStyle w:val="NoSpacing"/>
              <w:jc w:val="both"/>
              <w:rPr>
                <w:rFonts w:asciiTheme="minorHAnsi" w:hAnsiTheme="minorHAnsi" w:cstheme="minorHAnsi"/>
              </w:rPr>
            </w:pPr>
          </w:p>
        </w:tc>
      </w:tr>
      <w:tr w:rsidR="008209D2" w:rsidRPr="0062173B" w:rsidTr="002D2034">
        <w:tc>
          <w:tcPr>
            <w:tcW w:w="959" w:type="dxa"/>
          </w:tcPr>
          <w:p w:rsidR="008209D2" w:rsidRPr="0062173B" w:rsidRDefault="008209D2" w:rsidP="008209D2">
            <w:pPr>
              <w:pStyle w:val="NoSpacing"/>
              <w:jc w:val="both"/>
              <w:rPr>
                <w:rFonts w:asciiTheme="minorHAnsi" w:hAnsiTheme="minorHAnsi" w:cstheme="minorHAnsi"/>
              </w:rPr>
            </w:pPr>
            <w:r w:rsidRPr="0062173B">
              <w:rPr>
                <w:rFonts w:asciiTheme="minorHAnsi" w:hAnsiTheme="minorHAnsi" w:cstheme="minorHAnsi"/>
              </w:rPr>
              <w:t>14.74</w:t>
            </w:r>
          </w:p>
        </w:tc>
        <w:tc>
          <w:tcPr>
            <w:tcW w:w="1276" w:type="dxa"/>
          </w:tcPr>
          <w:p w:rsidR="008209D2" w:rsidRPr="0062173B" w:rsidRDefault="008209D2" w:rsidP="00B66982">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8209D2" w:rsidRPr="0062173B" w:rsidRDefault="008209D2" w:rsidP="00B66982">
            <w:pPr>
              <w:pStyle w:val="NoSpacing"/>
              <w:jc w:val="both"/>
              <w:rPr>
                <w:rFonts w:asciiTheme="minorHAnsi" w:hAnsiTheme="minorHAnsi" w:cstheme="minorHAnsi"/>
              </w:rPr>
            </w:pPr>
          </w:p>
        </w:tc>
        <w:tc>
          <w:tcPr>
            <w:tcW w:w="7655" w:type="dxa"/>
          </w:tcPr>
          <w:p w:rsidR="008209D2" w:rsidRPr="0062173B" w:rsidRDefault="008209D2" w:rsidP="008209D2">
            <w:pPr>
              <w:pStyle w:val="NoSpacing"/>
              <w:jc w:val="both"/>
              <w:rPr>
                <w:rFonts w:asciiTheme="minorHAnsi" w:hAnsiTheme="minorHAnsi" w:cstheme="minorHAnsi"/>
              </w:rPr>
            </w:pPr>
            <w:r w:rsidRPr="0062173B">
              <w:rPr>
                <w:rFonts w:asciiTheme="minorHAnsi" w:hAnsiTheme="minorHAnsi" w:cstheme="minorHAnsi"/>
              </w:rPr>
              <w:t xml:space="preserve">Mr Ian Gracie, Mr Gordon Jack, Mr Alistair Webster and Professor Stephanie Young </w:t>
            </w:r>
            <w:proofErr w:type="gramStart"/>
            <w:r w:rsidRPr="0062173B">
              <w:rPr>
                <w:rFonts w:asciiTheme="minorHAnsi" w:hAnsiTheme="minorHAnsi" w:cstheme="minorHAnsi"/>
              </w:rPr>
              <w:t>be</w:t>
            </w:r>
            <w:proofErr w:type="gramEnd"/>
            <w:r w:rsidRPr="0062173B">
              <w:rPr>
                <w:rFonts w:asciiTheme="minorHAnsi" w:hAnsiTheme="minorHAnsi" w:cstheme="minorHAnsi"/>
              </w:rPr>
              <w:t xml:space="preserve"> re-appointed to the University Court for a further 3 year term of office from 1</w:t>
            </w:r>
            <w:r w:rsidRPr="0062173B">
              <w:rPr>
                <w:rFonts w:asciiTheme="minorHAnsi" w:hAnsiTheme="minorHAnsi" w:cstheme="minorHAnsi"/>
                <w:vertAlign w:val="superscript"/>
              </w:rPr>
              <w:t>st</w:t>
            </w:r>
            <w:r w:rsidRPr="0062173B">
              <w:rPr>
                <w:rFonts w:asciiTheme="minorHAnsi" w:hAnsiTheme="minorHAnsi" w:cstheme="minorHAnsi"/>
              </w:rPr>
              <w:t xml:space="preserve"> August 2015 to 31</w:t>
            </w:r>
            <w:r w:rsidRPr="0062173B">
              <w:rPr>
                <w:rFonts w:asciiTheme="minorHAnsi" w:hAnsiTheme="minorHAnsi" w:cstheme="minorHAnsi"/>
                <w:vertAlign w:val="superscript"/>
              </w:rPr>
              <w:t>st</w:t>
            </w:r>
            <w:r w:rsidRPr="0062173B">
              <w:rPr>
                <w:rFonts w:asciiTheme="minorHAnsi" w:hAnsiTheme="minorHAnsi" w:cstheme="minorHAnsi"/>
              </w:rPr>
              <w:t xml:space="preserve"> July 2018.</w:t>
            </w:r>
          </w:p>
        </w:tc>
      </w:tr>
    </w:tbl>
    <w:p w:rsidR="008209D2" w:rsidRPr="0062173B" w:rsidRDefault="008209D2" w:rsidP="00754C04">
      <w:pPr>
        <w:pStyle w:val="NoSpacing"/>
        <w:jc w:val="both"/>
        <w:rPr>
          <w:rFonts w:asciiTheme="minorHAnsi" w:hAnsiTheme="minorHAnsi" w:cstheme="minorHAnsi"/>
          <w:b/>
        </w:rPr>
      </w:pPr>
    </w:p>
    <w:p w:rsidR="003A3816" w:rsidRPr="0062173B" w:rsidRDefault="003A3816" w:rsidP="003A3816">
      <w:pPr>
        <w:pStyle w:val="NoSpacing"/>
        <w:jc w:val="both"/>
        <w:rPr>
          <w:rFonts w:asciiTheme="minorHAnsi" w:hAnsiTheme="minorHAnsi" w:cstheme="minorHAnsi"/>
          <w:b/>
        </w:rPr>
      </w:pPr>
      <w:r w:rsidRPr="0062173B">
        <w:rPr>
          <w:rFonts w:asciiTheme="minorHAnsi" w:hAnsiTheme="minorHAnsi" w:cstheme="minorHAnsi"/>
          <w:b/>
        </w:rPr>
        <w:t>Staff Policy Committee Report: 11</w:t>
      </w:r>
      <w:r w:rsidRPr="0062173B">
        <w:rPr>
          <w:rFonts w:asciiTheme="minorHAnsi" w:hAnsiTheme="minorHAnsi" w:cstheme="minorHAnsi"/>
          <w:b/>
          <w:vertAlign w:val="superscript"/>
        </w:rPr>
        <w:t>th</w:t>
      </w:r>
      <w:r w:rsidRPr="0062173B">
        <w:rPr>
          <w:rFonts w:asciiTheme="minorHAnsi" w:hAnsiTheme="minorHAnsi" w:cstheme="minorHAnsi"/>
          <w:b/>
        </w:rPr>
        <w:t xml:space="preserve"> November 2014</w:t>
      </w:r>
    </w:p>
    <w:p w:rsidR="003A3816" w:rsidRPr="0062173B" w:rsidRDefault="003A3816" w:rsidP="003A3816">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3A3816" w:rsidRPr="0062173B" w:rsidTr="002D2034">
        <w:tc>
          <w:tcPr>
            <w:tcW w:w="959" w:type="dxa"/>
          </w:tcPr>
          <w:p w:rsidR="003A3816" w:rsidRPr="0062173B" w:rsidRDefault="003A3816" w:rsidP="003A3816">
            <w:pPr>
              <w:pStyle w:val="NoSpacing"/>
              <w:jc w:val="both"/>
              <w:rPr>
                <w:rFonts w:asciiTheme="minorHAnsi" w:hAnsiTheme="minorHAnsi" w:cstheme="minorHAnsi"/>
              </w:rPr>
            </w:pPr>
            <w:r w:rsidRPr="0062173B">
              <w:rPr>
                <w:rFonts w:asciiTheme="minorHAnsi" w:hAnsiTheme="minorHAnsi" w:cstheme="minorHAnsi"/>
              </w:rPr>
              <w:t>14.75</w:t>
            </w:r>
          </w:p>
        </w:tc>
        <w:tc>
          <w:tcPr>
            <w:tcW w:w="1276" w:type="dxa"/>
          </w:tcPr>
          <w:p w:rsidR="003A3816" w:rsidRPr="0062173B" w:rsidRDefault="003A3816"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3A3816" w:rsidRPr="0062173B" w:rsidRDefault="003A3816" w:rsidP="00B66982">
            <w:pPr>
              <w:pStyle w:val="NoSpacing"/>
              <w:jc w:val="both"/>
              <w:rPr>
                <w:rFonts w:asciiTheme="minorHAnsi" w:hAnsiTheme="minorHAnsi" w:cstheme="minorHAnsi"/>
              </w:rPr>
            </w:pPr>
            <w:r w:rsidRPr="0062173B">
              <w:rPr>
                <w:rFonts w:asciiTheme="minorHAnsi" w:hAnsiTheme="minorHAnsi" w:cstheme="minorHAnsi"/>
              </w:rPr>
              <w:t xml:space="preserve"> </w:t>
            </w:r>
          </w:p>
        </w:tc>
        <w:tc>
          <w:tcPr>
            <w:tcW w:w="7655" w:type="dxa"/>
          </w:tcPr>
          <w:p w:rsidR="003A3816" w:rsidRPr="0062173B" w:rsidRDefault="003A3816" w:rsidP="003A3816">
            <w:pPr>
              <w:pStyle w:val="NoSpacing"/>
              <w:jc w:val="both"/>
              <w:rPr>
                <w:rFonts w:asciiTheme="minorHAnsi" w:hAnsiTheme="minorHAnsi" w:cstheme="minorHAnsi"/>
              </w:rPr>
            </w:pPr>
            <w:r w:rsidRPr="0062173B">
              <w:rPr>
                <w:rFonts w:asciiTheme="minorHAnsi" w:hAnsiTheme="minorHAnsi" w:cstheme="minorHAnsi"/>
              </w:rPr>
              <w:t>Document UC14/35, a report on the substantive issues of business discussed at the Staff Policy Committee meeting on 11</w:t>
            </w:r>
            <w:r w:rsidRPr="0062173B">
              <w:rPr>
                <w:rFonts w:asciiTheme="minorHAnsi" w:hAnsiTheme="minorHAnsi" w:cstheme="minorHAnsi"/>
                <w:vertAlign w:val="superscript"/>
              </w:rPr>
              <w:t>th</w:t>
            </w:r>
            <w:r w:rsidRPr="0062173B">
              <w:rPr>
                <w:rFonts w:asciiTheme="minorHAnsi" w:hAnsiTheme="minorHAnsi" w:cstheme="minorHAnsi"/>
              </w:rPr>
              <w:t xml:space="preserve"> November 2014.</w:t>
            </w:r>
          </w:p>
        </w:tc>
      </w:tr>
    </w:tbl>
    <w:p w:rsidR="003A3816" w:rsidRPr="0062173B" w:rsidRDefault="003A3816" w:rsidP="003A3816">
      <w:pPr>
        <w:pStyle w:val="NoSpacing"/>
        <w:jc w:val="both"/>
        <w:rPr>
          <w:rFonts w:asciiTheme="minorHAnsi" w:hAnsiTheme="minorHAnsi" w:cstheme="minorHAnsi"/>
          <w:b/>
        </w:rPr>
      </w:pPr>
    </w:p>
    <w:p w:rsidR="003A3816" w:rsidRPr="0062173B" w:rsidRDefault="003A3816" w:rsidP="003A3816">
      <w:pPr>
        <w:pStyle w:val="NoSpacing"/>
        <w:jc w:val="both"/>
        <w:rPr>
          <w:rFonts w:asciiTheme="minorHAnsi" w:hAnsiTheme="minorHAnsi" w:cstheme="minorHAnsi"/>
          <w:b/>
        </w:rPr>
      </w:pPr>
      <w:r w:rsidRPr="0062173B">
        <w:rPr>
          <w:rFonts w:asciiTheme="minorHAnsi" w:hAnsiTheme="minorHAnsi" w:cstheme="minorHAnsi"/>
          <w:b/>
        </w:rPr>
        <w:t>People Strategy Annual Report 2013/2014</w:t>
      </w:r>
    </w:p>
    <w:p w:rsidR="007F04DE" w:rsidRPr="0062173B" w:rsidRDefault="007F04DE" w:rsidP="003A3816">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7F04DE" w:rsidRPr="0062173B" w:rsidTr="002D2034">
        <w:tc>
          <w:tcPr>
            <w:tcW w:w="959" w:type="dxa"/>
          </w:tcPr>
          <w:p w:rsidR="007F04DE" w:rsidRPr="0062173B" w:rsidRDefault="007F04DE" w:rsidP="00B66982">
            <w:pPr>
              <w:pStyle w:val="NoSpacing"/>
              <w:jc w:val="both"/>
              <w:rPr>
                <w:rFonts w:asciiTheme="minorHAnsi" w:hAnsiTheme="minorHAnsi" w:cstheme="minorHAnsi"/>
              </w:rPr>
            </w:pPr>
            <w:r w:rsidRPr="0062173B">
              <w:rPr>
                <w:rFonts w:asciiTheme="minorHAnsi" w:hAnsiTheme="minorHAnsi" w:cstheme="minorHAnsi"/>
              </w:rPr>
              <w:t>14.76</w:t>
            </w:r>
          </w:p>
        </w:tc>
        <w:tc>
          <w:tcPr>
            <w:tcW w:w="1276" w:type="dxa"/>
          </w:tcPr>
          <w:p w:rsidR="007F04DE" w:rsidRPr="0062173B" w:rsidRDefault="007F04DE"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7F04DE" w:rsidRPr="0062173B" w:rsidRDefault="007F04DE" w:rsidP="00B66982">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7F04DE" w:rsidRPr="0062173B" w:rsidRDefault="007F04DE" w:rsidP="00BF720D">
            <w:pPr>
              <w:pStyle w:val="NoSpacing"/>
              <w:jc w:val="both"/>
              <w:rPr>
                <w:rFonts w:asciiTheme="minorHAnsi" w:hAnsiTheme="minorHAnsi" w:cstheme="minorHAnsi"/>
              </w:rPr>
            </w:pPr>
            <w:r w:rsidRPr="0062173B">
              <w:rPr>
                <w:rFonts w:asciiTheme="minorHAnsi" w:hAnsiTheme="minorHAnsi" w:cstheme="minorHAnsi"/>
              </w:rPr>
              <w:t>Document UC14/36, the People Strategy Annual Report</w:t>
            </w:r>
            <w:r w:rsidR="00387474" w:rsidRPr="0062173B">
              <w:rPr>
                <w:rFonts w:asciiTheme="minorHAnsi" w:hAnsiTheme="minorHAnsi" w:cstheme="minorHAnsi"/>
              </w:rPr>
              <w:t xml:space="preserve"> </w:t>
            </w:r>
            <w:r w:rsidR="00387474" w:rsidRPr="0062173B">
              <w:rPr>
                <w:rFonts w:cstheme="minorHAnsi"/>
              </w:rPr>
              <w:t xml:space="preserve">which highlighted progress </w:t>
            </w:r>
            <w:r w:rsidR="00BF720D" w:rsidRPr="0062173B">
              <w:rPr>
                <w:rFonts w:cstheme="minorHAnsi"/>
              </w:rPr>
              <w:t>in</w:t>
            </w:r>
            <w:r w:rsidR="00387474" w:rsidRPr="0062173B">
              <w:rPr>
                <w:rFonts w:cstheme="minorHAnsi"/>
              </w:rPr>
              <w:t xml:space="preserve"> the second year</w:t>
            </w:r>
            <w:r w:rsidR="00BF720D" w:rsidRPr="0062173B">
              <w:rPr>
                <w:rFonts w:cstheme="minorHAnsi"/>
              </w:rPr>
              <w:t xml:space="preserve"> of</w:t>
            </w:r>
            <w:r w:rsidR="00387474" w:rsidRPr="0062173B">
              <w:rPr>
                <w:rFonts w:cstheme="minorHAnsi"/>
              </w:rPr>
              <w:t xml:space="preserve"> implementation of the 2015 People Strategy.</w:t>
            </w:r>
          </w:p>
        </w:tc>
      </w:tr>
      <w:tr w:rsidR="00387474" w:rsidRPr="0062173B" w:rsidTr="002D2034">
        <w:tc>
          <w:tcPr>
            <w:tcW w:w="959" w:type="dxa"/>
          </w:tcPr>
          <w:p w:rsidR="00387474" w:rsidRPr="0062173B" w:rsidRDefault="00387474" w:rsidP="00B66982">
            <w:pPr>
              <w:pStyle w:val="NoSpacing"/>
              <w:jc w:val="both"/>
              <w:rPr>
                <w:rFonts w:asciiTheme="minorHAnsi" w:hAnsiTheme="minorHAnsi" w:cstheme="minorHAnsi"/>
              </w:rPr>
            </w:pPr>
          </w:p>
        </w:tc>
        <w:tc>
          <w:tcPr>
            <w:tcW w:w="1276" w:type="dxa"/>
          </w:tcPr>
          <w:p w:rsidR="00387474" w:rsidRPr="0062173B" w:rsidRDefault="00387474" w:rsidP="00B66982">
            <w:pPr>
              <w:pStyle w:val="NoSpacing"/>
              <w:jc w:val="both"/>
              <w:rPr>
                <w:rFonts w:asciiTheme="minorHAnsi" w:hAnsiTheme="minorHAnsi" w:cstheme="minorHAnsi"/>
              </w:rPr>
            </w:pPr>
          </w:p>
        </w:tc>
        <w:tc>
          <w:tcPr>
            <w:tcW w:w="708" w:type="dxa"/>
          </w:tcPr>
          <w:p w:rsidR="00387474" w:rsidRPr="0062173B" w:rsidRDefault="00387474" w:rsidP="00B66982">
            <w:pPr>
              <w:pStyle w:val="NoSpacing"/>
              <w:jc w:val="both"/>
              <w:rPr>
                <w:rFonts w:asciiTheme="minorHAnsi" w:hAnsiTheme="minorHAnsi" w:cstheme="minorHAnsi"/>
              </w:rPr>
            </w:pPr>
          </w:p>
        </w:tc>
        <w:tc>
          <w:tcPr>
            <w:tcW w:w="7655" w:type="dxa"/>
          </w:tcPr>
          <w:p w:rsidR="00387474" w:rsidRPr="0062173B" w:rsidRDefault="00387474" w:rsidP="007F04DE">
            <w:pPr>
              <w:pStyle w:val="NoSpacing"/>
              <w:jc w:val="both"/>
              <w:rPr>
                <w:rFonts w:asciiTheme="minorHAnsi" w:hAnsiTheme="minorHAnsi" w:cstheme="minorHAnsi"/>
              </w:rPr>
            </w:pPr>
          </w:p>
        </w:tc>
      </w:tr>
      <w:tr w:rsidR="00387474" w:rsidRPr="0062173B" w:rsidTr="002D2034">
        <w:tc>
          <w:tcPr>
            <w:tcW w:w="959" w:type="dxa"/>
          </w:tcPr>
          <w:p w:rsidR="00387474" w:rsidRPr="0062173B" w:rsidRDefault="00387474" w:rsidP="00B66982">
            <w:pPr>
              <w:pStyle w:val="NoSpacing"/>
              <w:jc w:val="both"/>
              <w:rPr>
                <w:rFonts w:asciiTheme="minorHAnsi" w:hAnsiTheme="minorHAnsi" w:cstheme="minorHAnsi"/>
              </w:rPr>
            </w:pPr>
          </w:p>
        </w:tc>
        <w:tc>
          <w:tcPr>
            <w:tcW w:w="1276" w:type="dxa"/>
          </w:tcPr>
          <w:p w:rsidR="00387474" w:rsidRPr="0062173B" w:rsidRDefault="00387474" w:rsidP="00B66982">
            <w:pPr>
              <w:pStyle w:val="NoSpacing"/>
              <w:jc w:val="both"/>
              <w:rPr>
                <w:rFonts w:asciiTheme="minorHAnsi" w:hAnsiTheme="minorHAnsi" w:cstheme="minorHAnsi"/>
              </w:rPr>
            </w:pPr>
          </w:p>
        </w:tc>
        <w:tc>
          <w:tcPr>
            <w:tcW w:w="708" w:type="dxa"/>
          </w:tcPr>
          <w:p w:rsidR="00387474" w:rsidRPr="0062173B" w:rsidRDefault="00387474" w:rsidP="00B66982">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387474" w:rsidRPr="0062173B" w:rsidRDefault="00387474" w:rsidP="00BF720D">
            <w:pPr>
              <w:jc w:val="both"/>
              <w:rPr>
                <w:rFonts w:asciiTheme="minorHAnsi" w:hAnsiTheme="minorHAnsi" w:cstheme="minorHAnsi"/>
                <w:sz w:val="22"/>
                <w:szCs w:val="22"/>
              </w:rPr>
            </w:pPr>
            <w:r w:rsidRPr="0062173B">
              <w:rPr>
                <w:rFonts w:asciiTheme="minorHAnsi" w:hAnsiTheme="minorHAnsi" w:cstheme="minorHAnsi"/>
                <w:sz w:val="22"/>
                <w:szCs w:val="22"/>
              </w:rPr>
              <w:t xml:space="preserve">The focus of the work undertaken in 2013/2014 was the delivery of the People Passport, the work of the Health and Wellbeing Taskforce and the 2014 staff survey. </w:t>
            </w:r>
          </w:p>
        </w:tc>
      </w:tr>
      <w:tr w:rsidR="007F04DE" w:rsidRPr="0062173B" w:rsidTr="002D2034">
        <w:tc>
          <w:tcPr>
            <w:tcW w:w="959" w:type="dxa"/>
          </w:tcPr>
          <w:p w:rsidR="007F04DE" w:rsidRPr="0062173B" w:rsidRDefault="007F04DE" w:rsidP="00B66982">
            <w:pPr>
              <w:pStyle w:val="NoSpacing"/>
              <w:jc w:val="both"/>
              <w:rPr>
                <w:rFonts w:asciiTheme="minorHAnsi" w:hAnsiTheme="minorHAnsi" w:cstheme="minorHAnsi"/>
              </w:rPr>
            </w:pPr>
          </w:p>
        </w:tc>
        <w:tc>
          <w:tcPr>
            <w:tcW w:w="1276" w:type="dxa"/>
          </w:tcPr>
          <w:p w:rsidR="007F04DE" w:rsidRPr="0062173B" w:rsidRDefault="007F04DE" w:rsidP="00B66982">
            <w:pPr>
              <w:pStyle w:val="NoSpacing"/>
              <w:jc w:val="both"/>
              <w:rPr>
                <w:rFonts w:asciiTheme="minorHAnsi" w:hAnsiTheme="minorHAnsi" w:cstheme="minorHAnsi"/>
              </w:rPr>
            </w:pPr>
          </w:p>
        </w:tc>
        <w:tc>
          <w:tcPr>
            <w:tcW w:w="708" w:type="dxa"/>
          </w:tcPr>
          <w:p w:rsidR="007F04DE" w:rsidRPr="0062173B" w:rsidRDefault="007F04DE" w:rsidP="00B66982">
            <w:pPr>
              <w:pStyle w:val="NoSpacing"/>
              <w:jc w:val="both"/>
              <w:rPr>
                <w:rFonts w:asciiTheme="minorHAnsi" w:hAnsiTheme="minorHAnsi" w:cstheme="minorHAnsi"/>
              </w:rPr>
            </w:pPr>
          </w:p>
        </w:tc>
        <w:tc>
          <w:tcPr>
            <w:tcW w:w="7655" w:type="dxa"/>
          </w:tcPr>
          <w:p w:rsidR="007F04DE" w:rsidRPr="0062173B" w:rsidRDefault="007F04DE" w:rsidP="007F04DE">
            <w:pPr>
              <w:pStyle w:val="NoSpacing"/>
              <w:jc w:val="both"/>
              <w:rPr>
                <w:rFonts w:asciiTheme="minorHAnsi" w:hAnsiTheme="minorHAnsi" w:cstheme="minorHAnsi"/>
              </w:rPr>
            </w:pPr>
          </w:p>
        </w:tc>
      </w:tr>
      <w:tr w:rsidR="007F04DE" w:rsidRPr="0062173B" w:rsidTr="002D2034">
        <w:tc>
          <w:tcPr>
            <w:tcW w:w="959" w:type="dxa"/>
          </w:tcPr>
          <w:p w:rsidR="007F04DE" w:rsidRPr="0062173B" w:rsidRDefault="007F04DE" w:rsidP="00B66982">
            <w:pPr>
              <w:pStyle w:val="NoSpacing"/>
              <w:jc w:val="both"/>
              <w:rPr>
                <w:rFonts w:asciiTheme="minorHAnsi" w:hAnsiTheme="minorHAnsi" w:cstheme="minorHAnsi"/>
              </w:rPr>
            </w:pPr>
          </w:p>
        </w:tc>
        <w:tc>
          <w:tcPr>
            <w:tcW w:w="1276" w:type="dxa"/>
          </w:tcPr>
          <w:p w:rsidR="007F04DE" w:rsidRPr="0062173B" w:rsidRDefault="007F04DE" w:rsidP="00B66982">
            <w:pPr>
              <w:pStyle w:val="NoSpacing"/>
              <w:jc w:val="both"/>
              <w:rPr>
                <w:rFonts w:asciiTheme="minorHAnsi" w:hAnsiTheme="minorHAnsi" w:cstheme="minorHAnsi"/>
              </w:rPr>
            </w:pPr>
          </w:p>
        </w:tc>
        <w:tc>
          <w:tcPr>
            <w:tcW w:w="708" w:type="dxa"/>
          </w:tcPr>
          <w:p w:rsidR="007F04DE" w:rsidRPr="0062173B" w:rsidRDefault="007F04DE" w:rsidP="00B66982">
            <w:pPr>
              <w:pStyle w:val="NoSpacing"/>
              <w:jc w:val="both"/>
              <w:rPr>
                <w:rFonts w:asciiTheme="minorHAnsi" w:hAnsiTheme="minorHAnsi" w:cstheme="minorHAnsi"/>
              </w:rPr>
            </w:pPr>
            <w:r w:rsidRPr="0062173B">
              <w:rPr>
                <w:rFonts w:asciiTheme="minorHAnsi" w:hAnsiTheme="minorHAnsi" w:cstheme="minorHAnsi"/>
              </w:rPr>
              <w:t>i</w:t>
            </w:r>
            <w:r w:rsidR="00387474" w:rsidRPr="0062173B">
              <w:rPr>
                <w:rFonts w:asciiTheme="minorHAnsi" w:hAnsiTheme="minorHAnsi" w:cstheme="minorHAnsi"/>
              </w:rPr>
              <w:t>i</w:t>
            </w:r>
            <w:r w:rsidRPr="0062173B">
              <w:rPr>
                <w:rFonts w:asciiTheme="minorHAnsi" w:hAnsiTheme="minorHAnsi" w:cstheme="minorHAnsi"/>
              </w:rPr>
              <w:t>i.</w:t>
            </w:r>
          </w:p>
        </w:tc>
        <w:tc>
          <w:tcPr>
            <w:tcW w:w="7655" w:type="dxa"/>
          </w:tcPr>
          <w:p w:rsidR="007F04DE" w:rsidRPr="0062173B" w:rsidRDefault="007F04DE" w:rsidP="00BF720D">
            <w:pPr>
              <w:pStyle w:val="NoSpacing"/>
              <w:jc w:val="both"/>
              <w:rPr>
                <w:rFonts w:asciiTheme="minorHAnsi" w:hAnsiTheme="minorHAnsi" w:cstheme="minorHAnsi"/>
              </w:rPr>
            </w:pPr>
            <w:r w:rsidRPr="0062173B">
              <w:rPr>
                <w:rFonts w:asciiTheme="minorHAnsi" w:hAnsiTheme="minorHAnsi" w:cstheme="minorHAnsi"/>
              </w:rPr>
              <w:t>The Director of People advised that</w:t>
            </w:r>
            <w:r w:rsidR="00BF720D" w:rsidRPr="0062173B">
              <w:rPr>
                <w:rFonts w:asciiTheme="minorHAnsi" w:hAnsiTheme="minorHAnsi" w:cstheme="minorHAnsi"/>
              </w:rPr>
              <w:t>,</w:t>
            </w:r>
            <w:r w:rsidRPr="0062173B">
              <w:rPr>
                <w:rFonts w:asciiTheme="minorHAnsi" w:hAnsiTheme="minorHAnsi" w:cstheme="minorHAnsi"/>
              </w:rPr>
              <w:t xml:space="preserve"> since the People Strategy Annual Report</w:t>
            </w:r>
            <w:r w:rsidR="009B0B5B" w:rsidRPr="0062173B">
              <w:rPr>
                <w:rFonts w:asciiTheme="minorHAnsi" w:hAnsiTheme="minorHAnsi" w:cstheme="minorHAnsi"/>
              </w:rPr>
              <w:t xml:space="preserve"> had been written</w:t>
            </w:r>
            <w:r w:rsidR="00BF720D" w:rsidRPr="0062173B">
              <w:rPr>
                <w:rFonts w:asciiTheme="minorHAnsi" w:hAnsiTheme="minorHAnsi" w:cstheme="minorHAnsi"/>
              </w:rPr>
              <w:t>,</w:t>
            </w:r>
            <w:r w:rsidRPr="0062173B">
              <w:rPr>
                <w:rFonts w:asciiTheme="minorHAnsi" w:hAnsiTheme="minorHAnsi" w:cstheme="minorHAnsi"/>
              </w:rPr>
              <w:t xml:space="preserve"> the Equality Challenge Unit</w:t>
            </w:r>
            <w:r w:rsidR="009B0B5B" w:rsidRPr="0062173B">
              <w:rPr>
                <w:rFonts w:asciiTheme="minorHAnsi" w:hAnsiTheme="minorHAnsi" w:cstheme="minorHAnsi"/>
              </w:rPr>
              <w:t xml:space="preserve"> had commented</w:t>
            </w:r>
            <w:r w:rsidRPr="0062173B">
              <w:rPr>
                <w:rFonts w:asciiTheme="minorHAnsi" w:hAnsiTheme="minorHAnsi" w:cstheme="minorHAnsi"/>
              </w:rPr>
              <w:t xml:space="preserve"> on the University’s Athena Swan Bronze application</w:t>
            </w:r>
            <w:r w:rsidR="005F1BFD" w:rsidRPr="0062173B">
              <w:rPr>
                <w:rFonts w:asciiTheme="minorHAnsi" w:hAnsiTheme="minorHAnsi" w:cstheme="minorHAnsi"/>
              </w:rPr>
              <w:t xml:space="preserve"> and stated that f</w:t>
            </w:r>
            <w:r w:rsidRPr="0062173B">
              <w:rPr>
                <w:rFonts w:asciiTheme="minorHAnsi" w:hAnsiTheme="minorHAnsi" w:cstheme="minorHAnsi"/>
              </w:rPr>
              <w:t xml:space="preserve">urther evidence was needed to meet the charter mark requirement.  </w:t>
            </w:r>
            <w:r w:rsidR="008E244F" w:rsidRPr="0062173B">
              <w:rPr>
                <w:rFonts w:asciiTheme="minorHAnsi" w:hAnsiTheme="minorHAnsi" w:cstheme="minorHAnsi"/>
              </w:rPr>
              <w:t>Th</w:t>
            </w:r>
            <w:r w:rsidR="00BF720D" w:rsidRPr="0062173B">
              <w:rPr>
                <w:rFonts w:asciiTheme="minorHAnsi" w:hAnsiTheme="minorHAnsi" w:cstheme="minorHAnsi"/>
              </w:rPr>
              <w:t xml:space="preserve">is </w:t>
            </w:r>
            <w:r w:rsidR="008E244F" w:rsidRPr="0062173B">
              <w:rPr>
                <w:rFonts w:asciiTheme="minorHAnsi" w:hAnsiTheme="minorHAnsi" w:cstheme="minorHAnsi"/>
              </w:rPr>
              <w:t>would</w:t>
            </w:r>
            <w:r w:rsidR="005F1BFD" w:rsidRPr="0062173B">
              <w:rPr>
                <w:rFonts w:asciiTheme="minorHAnsi" w:hAnsiTheme="minorHAnsi" w:cstheme="minorHAnsi"/>
              </w:rPr>
              <w:t>,</w:t>
            </w:r>
            <w:r w:rsidR="008E244F" w:rsidRPr="0062173B">
              <w:rPr>
                <w:rFonts w:asciiTheme="minorHAnsi" w:hAnsiTheme="minorHAnsi" w:cstheme="minorHAnsi"/>
              </w:rPr>
              <w:t xml:space="preserve"> therefore</w:t>
            </w:r>
            <w:r w:rsidR="005F1BFD" w:rsidRPr="0062173B">
              <w:rPr>
                <w:rFonts w:asciiTheme="minorHAnsi" w:hAnsiTheme="minorHAnsi" w:cstheme="minorHAnsi"/>
              </w:rPr>
              <w:t>,</w:t>
            </w:r>
            <w:r w:rsidR="008E244F" w:rsidRPr="0062173B">
              <w:rPr>
                <w:rFonts w:asciiTheme="minorHAnsi" w:hAnsiTheme="minorHAnsi" w:cstheme="minorHAnsi"/>
              </w:rPr>
              <w:t xml:space="preserve"> be reclassified as amber. </w:t>
            </w:r>
            <w:r w:rsidRPr="0062173B">
              <w:rPr>
                <w:rFonts w:asciiTheme="minorHAnsi" w:hAnsiTheme="minorHAnsi" w:cstheme="minorHAnsi"/>
              </w:rPr>
              <w:t xml:space="preserve"> </w:t>
            </w:r>
            <w:r w:rsidR="000242C7" w:rsidRPr="0062173B">
              <w:rPr>
                <w:rFonts w:asciiTheme="minorHAnsi" w:hAnsiTheme="minorHAnsi" w:cstheme="minorHAnsi"/>
              </w:rPr>
              <w:t xml:space="preserve">The Director of People stated that </w:t>
            </w:r>
            <w:r w:rsidR="00BF720D" w:rsidRPr="0062173B">
              <w:rPr>
                <w:rFonts w:asciiTheme="minorHAnsi" w:hAnsiTheme="minorHAnsi" w:cstheme="minorHAnsi"/>
              </w:rPr>
              <w:t>t</w:t>
            </w:r>
            <w:r w:rsidR="000242C7" w:rsidRPr="0062173B">
              <w:rPr>
                <w:rFonts w:asciiTheme="minorHAnsi" w:hAnsiTheme="minorHAnsi" w:cstheme="minorHAnsi"/>
              </w:rPr>
              <w:t>he</w:t>
            </w:r>
            <w:r w:rsidR="00BF720D" w:rsidRPr="0062173B">
              <w:rPr>
                <w:rFonts w:asciiTheme="minorHAnsi" w:hAnsiTheme="minorHAnsi" w:cstheme="minorHAnsi"/>
              </w:rPr>
              <w:t xml:space="preserve"> University</w:t>
            </w:r>
            <w:r w:rsidR="000242C7" w:rsidRPr="0062173B">
              <w:rPr>
                <w:rFonts w:asciiTheme="minorHAnsi" w:hAnsiTheme="minorHAnsi" w:cstheme="minorHAnsi"/>
              </w:rPr>
              <w:t xml:space="preserve"> would be meeting with the ECU to discuss what further action was needed to fulfil the criteria for the bronze award.     </w:t>
            </w:r>
          </w:p>
        </w:tc>
      </w:tr>
      <w:tr w:rsidR="008A14AC" w:rsidRPr="0062173B" w:rsidTr="002D2034">
        <w:tc>
          <w:tcPr>
            <w:tcW w:w="959" w:type="dxa"/>
          </w:tcPr>
          <w:p w:rsidR="008A14AC" w:rsidRPr="0062173B" w:rsidRDefault="008A14AC" w:rsidP="00B66982">
            <w:pPr>
              <w:pStyle w:val="NoSpacing"/>
              <w:jc w:val="both"/>
              <w:rPr>
                <w:rFonts w:asciiTheme="minorHAnsi" w:hAnsiTheme="minorHAnsi" w:cstheme="minorHAnsi"/>
              </w:rPr>
            </w:pPr>
          </w:p>
        </w:tc>
        <w:tc>
          <w:tcPr>
            <w:tcW w:w="1276" w:type="dxa"/>
          </w:tcPr>
          <w:p w:rsidR="008A14AC" w:rsidRPr="0062173B" w:rsidRDefault="008A14AC" w:rsidP="00B66982">
            <w:pPr>
              <w:pStyle w:val="NoSpacing"/>
              <w:jc w:val="both"/>
              <w:rPr>
                <w:rFonts w:asciiTheme="minorHAnsi" w:hAnsiTheme="minorHAnsi" w:cstheme="minorHAnsi"/>
              </w:rPr>
            </w:pPr>
          </w:p>
        </w:tc>
        <w:tc>
          <w:tcPr>
            <w:tcW w:w="708" w:type="dxa"/>
          </w:tcPr>
          <w:p w:rsidR="008A14AC" w:rsidRPr="0062173B" w:rsidRDefault="008A14AC" w:rsidP="00B66982">
            <w:pPr>
              <w:pStyle w:val="NoSpacing"/>
              <w:jc w:val="both"/>
              <w:rPr>
                <w:rFonts w:asciiTheme="minorHAnsi" w:hAnsiTheme="minorHAnsi" w:cstheme="minorHAnsi"/>
              </w:rPr>
            </w:pPr>
          </w:p>
        </w:tc>
        <w:tc>
          <w:tcPr>
            <w:tcW w:w="7655" w:type="dxa"/>
          </w:tcPr>
          <w:p w:rsidR="008A14AC" w:rsidRPr="0062173B" w:rsidRDefault="008A14AC" w:rsidP="008E244F">
            <w:pPr>
              <w:pStyle w:val="NoSpacing"/>
              <w:jc w:val="both"/>
              <w:rPr>
                <w:rFonts w:asciiTheme="minorHAnsi" w:hAnsiTheme="minorHAnsi" w:cstheme="minorHAnsi"/>
              </w:rPr>
            </w:pPr>
          </w:p>
        </w:tc>
      </w:tr>
      <w:tr w:rsidR="008A14AC" w:rsidRPr="0062173B" w:rsidTr="002D2034">
        <w:tc>
          <w:tcPr>
            <w:tcW w:w="959" w:type="dxa"/>
          </w:tcPr>
          <w:p w:rsidR="008A14AC" w:rsidRPr="0062173B" w:rsidRDefault="008A14AC" w:rsidP="00B66982">
            <w:pPr>
              <w:pStyle w:val="NoSpacing"/>
              <w:jc w:val="both"/>
              <w:rPr>
                <w:rFonts w:asciiTheme="minorHAnsi" w:hAnsiTheme="minorHAnsi" w:cstheme="minorHAnsi"/>
              </w:rPr>
            </w:pPr>
          </w:p>
        </w:tc>
        <w:tc>
          <w:tcPr>
            <w:tcW w:w="1276" w:type="dxa"/>
          </w:tcPr>
          <w:p w:rsidR="008A14AC" w:rsidRPr="0062173B" w:rsidRDefault="008A14AC" w:rsidP="00B66982">
            <w:pPr>
              <w:pStyle w:val="NoSpacing"/>
              <w:jc w:val="both"/>
              <w:rPr>
                <w:rFonts w:asciiTheme="minorHAnsi" w:hAnsiTheme="minorHAnsi" w:cstheme="minorHAnsi"/>
              </w:rPr>
            </w:pPr>
          </w:p>
        </w:tc>
        <w:tc>
          <w:tcPr>
            <w:tcW w:w="708" w:type="dxa"/>
          </w:tcPr>
          <w:p w:rsidR="008A14AC" w:rsidRPr="0062173B" w:rsidRDefault="008A14AC" w:rsidP="00387474">
            <w:pPr>
              <w:pStyle w:val="NoSpacing"/>
              <w:jc w:val="both"/>
              <w:rPr>
                <w:rFonts w:asciiTheme="minorHAnsi" w:hAnsiTheme="minorHAnsi" w:cstheme="minorHAnsi"/>
              </w:rPr>
            </w:pPr>
            <w:r w:rsidRPr="0062173B">
              <w:rPr>
                <w:rFonts w:asciiTheme="minorHAnsi" w:hAnsiTheme="minorHAnsi" w:cstheme="minorHAnsi"/>
              </w:rPr>
              <w:t>i</w:t>
            </w:r>
            <w:r w:rsidR="00387474" w:rsidRPr="0062173B">
              <w:rPr>
                <w:rFonts w:asciiTheme="minorHAnsi" w:hAnsiTheme="minorHAnsi" w:cstheme="minorHAnsi"/>
              </w:rPr>
              <w:t>v</w:t>
            </w:r>
            <w:r w:rsidRPr="0062173B">
              <w:rPr>
                <w:rFonts w:asciiTheme="minorHAnsi" w:hAnsiTheme="minorHAnsi" w:cstheme="minorHAnsi"/>
              </w:rPr>
              <w:t>.</w:t>
            </w:r>
          </w:p>
        </w:tc>
        <w:tc>
          <w:tcPr>
            <w:tcW w:w="7655" w:type="dxa"/>
          </w:tcPr>
          <w:p w:rsidR="008A14AC" w:rsidRPr="0062173B" w:rsidRDefault="00387474" w:rsidP="00BD7510">
            <w:pPr>
              <w:pStyle w:val="NoSpacing"/>
              <w:jc w:val="both"/>
              <w:rPr>
                <w:rFonts w:asciiTheme="minorHAnsi" w:hAnsiTheme="minorHAnsi" w:cstheme="minorHAnsi"/>
              </w:rPr>
            </w:pPr>
            <w:r w:rsidRPr="0062173B">
              <w:rPr>
                <w:rFonts w:cstheme="minorHAnsi"/>
              </w:rPr>
              <w:t>Court, while recognising that the strategy had a year to run</w:t>
            </w:r>
            <w:r w:rsidR="005F1BFD" w:rsidRPr="0062173B">
              <w:rPr>
                <w:rFonts w:cstheme="minorHAnsi"/>
              </w:rPr>
              <w:t>,</w:t>
            </w:r>
            <w:r w:rsidRPr="0062173B">
              <w:rPr>
                <w:rFonts w:cstheme="minorHAnsi"/>
              </w:rPr>
              <w:t xml:space="preserve"> welcomed the significant progress that had been made</w:t>
            </w:r>
            <w:r w:rsidR="0062173B">
              <w:rPr>
                <w:rFonts w:cstheme="minorHAnsi"/>
              </w:rPr>
              <w:t xml:space="preserve"> and commended the Director of People and his team for work to date in </w:t>
            </w:r>
            <w:proofErr w:type="gramStart"/>
            <w:r w:rsidR="0062173B">
              <w:rPr>
                <w:rFonts w:cstheme="minorHAnsi"/>
              </w:rPr>
              <w:t xml:space="preserve">meeting </w:t>
            </w:r>
            <w:r w:rsidRPr="0062173B">
              <w:rPr>
                <w:rFonts w:cstheme="minorHAnsi"/>
              </w:rPr>
              <w:t xml:space="preserve"> to</w:t>
            </w:r>
            <w:proofErr w:type="gramEnd"/>
            <w:r w:rsidRPr="0062173B">
              <w:rPr>
                <w:rFonts w:cstheme="minorHAnsi"/>
              </w:rPr>
              <w:t xml:space="preserve"> date</w:t>
            </w:r>
            <w:r w:rsidR="0062173B">
              <w:rPr>
                <w:rFonts w:cstheme="minorHAnsi"/>
              </w:rPr>
              <w:t xml:space="preserve"> in meeting the GCU Corporate Compass</w:t>
            </w:r>
            <w:r w:rsidRPr="0062173B">
              <w:rPr>
                <w:rFonts w:cstheme="minorHAnsi"/>
              </w:rPr>
              <w:t xml:space="preserve">. </w:t>
            </w:r>
          </w:p>
        </w:tc>
      </w:tr>
    </w:tbl>
    <w:p w:rsidR="007F04DE" w:rsidRPr="0062173B" w:rsidRDefault="007F04DE" w:rsidP="003A3816">
      <w:pPr>
        <w:pStyle w:val="NoSpacing"/>
        <w:jc w:val="both"/>
        <w:rPr>
          <w:rFonts w:asciiTheme="minorHAnsi" w:hAnsiTheme="minorHAnsi" w:cstheme="minorHAnsi"/>
          <w:b/>
        </w:rPr>
      </w:pPr>
    </w:p>
    <w:p w:rsidR="003171B8" w:rsidRPr="0062173B" w:rsidRDefault="003171B8" w:rsidP="00754C04">
      <w:pPr>
        <w:pStyle w:val="NoSpacing"/>
        <w:jc w:val="both"/>
        <w:rPr>
          <w:rFonts w:asciiTheme="minorHAnsi" w:hAnsiTheme="minorHAnsi" w:cstheme="minorHAnsi"/>
          <w:b/>
        </w:rPr>
      </w:pPr>
      <w:r w:rsidRPr="0062173B">
        <w:rPr>
          <w:rFonts w:asciiTheme="minorHAnsi" w:hAnsiTheme="minorHAnsi" w:cstheme="minorHAnsi"/>
          <w:b/>
        </w:rPr>
        <w:t xml:space="preserve">Remuneration Committee Annual Report </w:t>
      </w:r>
      <w:r w:rsidR="00144CDB" w:rsidRPr="0062173B">
        <w:rPr>
          <w:rFonts w:asciiTheme="minorHAnsi" w:hAnsiTheme="minorHAnsi" w:cstheme="minorHAnsi"/>
          <w:b/>
        </w:rPr>
        <w:t xml:space="preserve">November 2013 to November </w:t>
      </w:r>
      <w:r w:rsidRPr="0062173B">
        <w:rPr>
          <w:rFonts w:asciiTheme="minorHAnsi" w:hAnsiTheme="minorHAnsi" w:cstheme="minorHAnsi"/>
          <w:b/>
        </w:rPr>
        <w:t>201</w:t>
      </w:r>
      <w:r w:rsidR="00144CDB" w:rsidRPr="0062173B">
        <w:rPr>
          <w:rFonts w:asciiTheme="minorHAnsi" w:hAnsiTheme="minorHAnsi" w:cstheme="minorHAnsi"/>
          <w:b/>
        </w:rPr>
        <w:t>4</w:t>
      </w:r>
    </w:p>
    <w:p w:rsidR="003171B8" w:rsidRPr="0062173B" w:rsidRDefault="003171B8"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959"/>
        <w:gridCol w:w="1276"/>
        <w:gridCol w:w="708"/>
        <w:gridCol w:w="7655"/>
      </w:tblGrid>
      <w:tr w:rsidR="003171B8" w:rsidRPr="0062173B" w:rsidTr="002D2034">
        <w:tc>
          <w:tcPr>
            <w:tcW w:w="959" w:type="dxa"/>
          </w:tcPr>
          <w:p w:rsidR="003171B8" w:rsidRPr="0062173B" w:rsidRDefault="003171B8" w:rsidP="007F04DE">
            <w:pPr>
              <w:pStyle w:val="Footer"/>
              <w:tabs>
                <w:tab w:val="clear" w:pos="4320"/>
                <w:tab w:val="clear" w:pos="8640"/>
                <w:tab w:val="left" w:pos="2835"/>
              </w:tabs>
              <w:jc w:val="both"/>
              <w:rPr>
                <w:rFonts w:asciiTheme="minorHAnsi" w:hAnsiTheme="minorHAnsi" w:cstheme="minorHAnsi"/>
                <w:sz w:val="22"/>
                <w:szCs w:val="22"/>
              </w:rPr>
            </w:pPr>
            <w:r w:rsidRPr="0062173B">
              <w:rPr>
                <w:rFonts w:asciiTheme="minorHAnsi" w:hAnsiTheme="minorHAnsi" w:cstheme="minorHAnsi"/>
                <w:sz w:val="22"/>
                <w:szCs w:val="22"/>
              </w:rPr>
              <w:t>1</w:t>
            </w:r>
            <w:r w:rsidR="007F04DE" w:rsidRPr="0062173B">
              <w:rPr>
                <w:rFonts w:asciiTheme="minorHAnsi" w:hAnsiTheme="minorHAnsi" w:cstheme="minorHAnsi"/>
                <w:sz w:val="22"/>
                <w:szCs w:val="22"/>
              </w:rPr>
              <w:t>4</w:t>
            </w:r>
            <w:r w:rsidRPr="0062173B">
              <w:rPr>
                <w:rFonts w:asciiTheme="minorHAnsi" w:hAnsiTheme="minorHAnsi" w:cstheme="minorHAnsi"/>
                <w:sz w:val="22"/>
                <w:szCs w:val="22"/>
              </w:rPr>
              <w:t>.</w:t>
            </w:r>
            <w:r w:rsidR="005640C4" w:rsidRPr="0062173B">
              <w:rPr>
                <w:rFonts w:asciiTheme="minorHAnsi" w:hAnsiTheme="minorHAnsi" w:cstheme="minorHAnsi"/>
                <w:sz w:val="22"/>
                <w:szCs w:val="22"/>
              </w:rPr>
              <w:t>77</w:t>
            </w:r>
          </w:p>
        </w:tc>
        <w:tc>
          <w:tcPr>
            <w:tcW w:w="1276" w:type="dxa"/>
          </w:tcPr>
          <w:p w:rsidR="003171B8" w:rsidRPr="0062173B" w:rsidRDefault="00144CDB" w:rsidP="00754C04">
            <w:pPr>
              <w:pStyle w:val="Footer"/>
              <w:tabs>
                <w:tab w:val="clear" w:pos="4320"/>
                <w:tab w:val="clear" w:pos="8640"/>
                <w:tab w:val="left" w:pos="2835"/>
              </w:tabs>
              <w:jc w:val="both"/>
              <w:rPr>
                <w:rFonts w:asciiTheme="minorHAnsi" w:hAnsiTheme="minorHAnsi" w:cstheme="minorHAnsi"/>
                <w:sz w:val="22"/>
                <w:szCs w:val="22"/>
              </w:rPr>
            </w:pPr>
            <w:r w:rsidRPr="0062173B">
              <w:rPr>
                <w:rFonts w:asciiTheme="minorHAnsi" w:hAnsiTheme="minorHAnsi" w:cstheme="minorHAnsi"/>
                <w:sz w:val="22"/>
                <w:szCs w:val="22"/>
              </w:rPr>
              <w:t>Approved</w:t>
            </w:r>
          </w:p>
        </w:tc>
        <w:tc>
          <w:tcPr>
            <w:tcW w:w="708" w:type="dxa"/>
          </w:tcPr>
          <w:p w:rsidR="003171B8" w:rsidRPr="0062173B" w:rsidRDefault="003171B8" w:rsidP="00754C04">
            <w:pPr>
              <w:pStyle w:val="Footer"/>
              <w:tabs>
                <w:tab w:val="clear" w:pos="4320"/>
                <w:tab w:val="clear" w:pos="8640"/>
                <w:tab w:val="left" w:pos="2835"/>
              </w:tabs>
              <w:jc w:val="both"/>
              <w:rPr>
                <w:rFonts w:asciiTheme="minorHAnsi" w:hAnsiTheme="minorHAnsi" w:cstheme="minorHAnsi"/>
                <w:sz w:val="22"/>
                <w:szCs w:val="22"/>
              </w:rPr>
            </w:pPr>
          </w:p>
        </w:tc>
        <w:tc>
          <w:tcPr>
            <w:tcW w:w="7655" w:type="dxa"/>
          </w:tcPr>
          <w:p w:rsidR="003171B8" w:rsidRPr="0062173B" w:rsidRDefault="003171B8" w:rsidP="005640C4">
            <w:pPr>
              <w:pStyle w:val="Footer"/>
              <w:tabs>
                <w:tab w:val="clear" w:pos="4320"/>
                <w:tab w:val="clear" w:pos="8640"/>
                <w:tab w:val="left" w:pos="2835"/>
              </w:tabs>
              <w:jc w:val="both"/>
              <w:rPr>
                <w:rFonts w:asciiTheme="minorHAnsi" w:hAnsiTheme="minorHAnsi" w:cstheme="minorHAnsi"/>
                <w:sz w:val="22"/>
                <w:szCs w:val="22"/>
              </w:rPr>
            </w:pPr>
            <w:r w:rsidRPr="0062173B">
              <w:rPr>
                <w:rFonts w:asciiTheme="minorHAnsi" w:hAnsiTheme="minorHAnsi" w:cstheme="minorHAnsi"/>
                <w:sz w:val="22"/>
                <w:szCs w:val="22"/>
              </w:rPr>
              <w:t>Document UC1</w:t>
            </w:r>
            <w:r w:rsidR="00144CDB" w:rsidRPr="0062173B">
              <w:rPr>
                <w:rFonts w:asciiTheme="minorHAnsi" w:hAnsiTheme="minorHAnsi" w:cstheme="minorHAnsi"/>
                <w:sz w:val="22"/>
                <w:szCs w:val="22"/>
              </w:rPr>
              <w:t>4</w:t>
            </w:r>
            <w:r w:rsidRPr="0062173B">
              <w:rPr>
                <w:rFonts w:asciiTheme="minorHAnsi" w:hAnsiTheme="minorHAnsi" w:cstheme="minorHAnsi"/>
                <w:sz w:val="22"/>
                <w:szCs w:val="22"/>
              </w:rPr>
              <w:t xml:space="preserve">/, the Remuneration Committee </w:t>
            </w:r>
            <w:r w:rsidR="002B4BE2" w:rsidRPr="0062173B">
              <w:rPr>
                <w:rFonts w:asciiTheme="minorHAnsi" w:hAnsiTheme="minorHAnsi" w:cstheme="minorHAnsi"/>
                <w:sz w:val="22"/>
                <w:szCs w:val="22"/>
              </w:rPr>
              <w:t>A</w:t>
            </w:r>
            <w:r w:rsidRPr="0062173B">
              <w:rPr>
                <w:rFonts w:asciiTheme="minorHAnsi" w:hAnsiTheme="minorHAnsi" w:cstheme="minorHAnsi"/>
                <w:sz w:val="22"/>
                <w:szCs w:val="22"/>
              </w:rPr>
              <w:t xml:space="preserve">nnual </w:t>
            </w:r>
            <w:r w:rsidR="002B4BE2" w:rsidRPr="0062173B">
              <w:rPr>
                <w:rFonts w:asciiTheme="minorHAnsi" w:hAnsiTheme="minorHAnsi" w:cstheme="minorHAnsi"/>
                <w:sz w:val="22"/>
                <w:szCs w:val="22"/>
              </w:rPr>
              <w:t>R</w:t>
            </w:r>
            <w:r w:rsidRPr="0062173B">
              <w:rPr>
                <w:rFonts w:asciiTheme="minorHAnsi" w:hAnsiTheme="minorHAnsi" w:cstheme="minorHAnsi"/>
                <w:sz w:val="22"/>
                <w:szCs w:val="22"/>
              </w:rPr>
              <w:t xml:space="preserve">eport </w:t>
            </w:r>
            <w:r w:rsidR="007F04DE" w:rsidRPr="0062173B">
              <w:rPr>
                <w:rFonts w:asciiTheme="minorHAnsi" w:hAnsiTheme="minorHAnsi" w:cstheme="minorHAnsi"/>
                <w:sz w:val="22"/>
                <w:szCs w:val="22"/>
              </w:rPr>
              <w:t>for the period November 2013 to November 2014.</w:t>
            </w:r>
          </w:p>
        </w:tc>
      </w:tr>
    </w:tbl>
    <w:p w:rsidR="004814D9" w:rsidRPr="0062173B" w:rsidRDefault="004814D9" w:rsidP="00754C04">
      <w:pPr>
        <w:pStyle w:val="NoSpacing"/>
        <w:jc w:val="both"/>
        <w:rPr>
          <w:rFonts w:asciiTheme="minorHAnsi" w:hAnsiTheme="minorHAnsi" w:cstheme="minorHAnsi"/>
          <w:b/>
        </w:rPr>
      </w:pPr>
    </w:p>
    <w:p w:rsidR="002B4BE2" w:rsidRPr="0062173B" w:rsidRDefault="005640C4" w:rsidP="00754C04">
      <w:pPr>
        <w:pStyle w:val="NoSpacing"/>
        <w:jc w:val="both"/>
        <w:rPr>
          <w:rFonts w:asciiTheme="minorHAnsi" w:hAnsiTheme="minorHAnsi" w:cstheme="minorHAnsi"/>
          <w:b/>
        </w:rPr>
      </w:pPr>
      <w:r w:rsidRPr="0062173B">
        <w:rPr>
          <w:rFonts w:asciiTheme="minorHAnsi" w:hAnsiTheme="minorHAnsi" w:cstheme="minorHAnsi"/>
          <w:b/>
        </w:rPr>
        <w:t>GCU 2020 Strategy</w:t>
      </w:r>
    </w:p>
    <w:p w:rsidR="00481206" w:rsidRPr="0062173B" w:rsidRDefault="00481206"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5640C4" w:rsidRPr="0062173B" w:rsidTr="002D2034">
        <w:tc>
          <w:tcPr>
            <w:tcW w:w="959" w:type="dxa"/>
          </w:tcPr>
          <w:p w:rsidR="005640C4" w:rsidRPr="0062173B" w:rsidRDefault="005640C4" w:rsidP="00B66982">
            <w:pPr>
              <w:pStyle w:val="NoSpacing"/>
              <w:jc w:val="both"/>
              <w:rPr>
                <w:rFonts w:asciiTheme="minorHAnsi" w:hAnsiTheme="minorHAnsi" w:cstheme="minorHAnsi"/>
              </w:rPr>
            </w:pPr>
            <w:r w:rsidRPr="0062173B">
              <w:rPr>
                <w:rFonts w:asciiTheme="minorHAnsi" w:hAnsiTheme="minorHAnsi" w:cstheme="minorHAnsi"/>
              </w:rPr>
              <w:t>14.78</w:t>
            </w:r>
          </w:p>
        </w:tc>
        <w:tc>
          <w:tcPr>
            <w:tcW w:w="1276" w:type="dxa"/>
          </w:tcPr>
          <w:p w:rsidR="005640C4" w:rsidRPr="0062173B" w:rsidRDefault="005640C4" w:rsidP="00B66982">
            <w:pPr>
              <w:pStyle w:val="NoSpacing"/>
              <w:jc w:val="both"/>
              <w:rPr>
                <w:rFonts w:asciiTheme="minorHAnsi" w:hAnsiTheme="minorHAnsi" w:cstheme="minorHAnsi"/>
              </w:rPr>
            </w:pPr>
            <w:r w:rsidRPr="0062173B">
              <w:rPr>
                <w:rFonts w:asciiTheme="minorHAnsi" w:hAnsiTheme="minorHAnsi" w:cstheme="minorHAnsi"/>
              </w:rPr>
              <w:t>Considered</w:t>
            </w:r>
          </w:p>
        </w:tc>
        <w:tc>
          <w:tcPr>
            <w:tcW w:w="708" w:type="dxa"/>
          </w:tcPr>
          <w:p w:rsidR="005640C4" w:rsidRPr="0062173B" w:rsidRDefault="005640C4" w:rsidP="00B66982">
            <w:pPr>
              <w:pStyle w:val="NoSpacing"/>
              <w:jc w:val="both"/>
              <w:rPr>
                <w:rFonts w:asciiTheme="minorHAnsi" w:hAnsiTheme="minorHAnsi" w:cstheme="minorHAnsi"/>
              </w:rPr>
            </w:pPr>
          </w:p>
        </w:tc>
        <w:tc>
          <w:tcPr>
            <w:tcW w:w="7655" w:type="dxa"/>
          </w:tcPr>
          <w:p w:rsidR="005640C4" w:rsidRPr="0062173B" w:rsidRDefault="005640C4" w:rsidP="00B66982">
            <w:pPr>
              <w:pStyle w:val="NoSpacing"/>
              <w:jc w:val="both"/>
              <w:rPr>
                <w:rFonts w:asciiTheme="minorHAnsi" w:hAnsiTheme="minorHAnsi" w:cstheme="minorHAnsi"/>
              </w:rPr>
            </w:pPr>
            <w:r w:rsidRPr="0062173B">
              <w:rPr>
                <w:rFonts w:asciiTheme="minorHAnsi" w:hAnsiTheme="minorHAnsi" w:cstheme="minorHAnsi"/>
              </w:rPr>
              <w:t>Document UC14/38</w:t>
            </w:r>
            <w:r w:rsidR="00182818" w:rsidRPr="0062173B">
              <w:rPr>
                <w:rFonts w:asciiTheme="minorHAnsi" w:hAnsiTheme="minorHAnsi" w:cstheme="minorHAnsi"/>
              </w:rPr>
              <w:t>, the GCU 2020 Strategy.</w:t>
            </w:r>
          </w:p>
        </w:tc>
      </w:tr>
      <w:tr w:rsidR="00182818" w:rsidRPr="0062173B" w:rsidTr="002D2034">
        <w:tc>
          <w:tcPr>
            <w:tcW w:w="959" w:type="dxa"/>
          </w:tcPr>
          <w:p w:rsidR="00182818" w:rsidRPr="0062173B" w:rsidRDefault="00182818" w:rsidP="00B66982">
            <w:pPr>
              <w:pStyle w:val="NoSpacing"/>
              <w:jc w:val="both"/>
              <w:rPr>
                <w:rFonts w:asciiTheme="minorHAnsi" w:hAnsiTheme="minorHAnsi" w:cstheme="minorHAnsi"/>
              </w:rPr>
            </w:pPr>
          </w:p>
        </w:tc>
        <w:tc>
          <w:tcPr>
            <w:tcW w:w="1276" w:type="dxa"/>
          </w:tcPr>
          <w:p w:rsidR="00182818" w:rsidRPr="0062173B" w:rsidRDefault="00182818" w:rsidP="00B66982">
            <w:pPr>
              <w:pStyle w:val="NoSpacing"/>
              <w:jc w:val="both"/>
              <w:rPr>
                <w:rFonts w:asciiTheme="minorHAnsi" w:hAnsiTheme="minorHAnsi" w:cstheme="minorHAnsi"/>
              </w:rPr>
            </w:pPr>
          </w:p>
        </w:tc>
        <w:tc>
          <w:tcPr>
            <w:tcW w:w="708" w:type="dxa"/>
          </w:tcPr>
          <w:p w:rsidR="00182818" w:rsidRPr="0062173B" w:rsidRDefault="00182818" w:rsidP="00B66982">
            <w:pPr>
              <w:pStyle w:val="NoSpacing"/>
              <w:jc w:val="both"/>
              <w:rPr>
                <w:rFonts w:asciiTheme="minorHAnsi" w:hAnsiTheme="minorHAnsi" w:cstheme="minorHAnsi"/>
              </w:rPr>
            </w:pPr>
          </w:p>
        </w:tc>
        <w:tc>
          <w:tcPr>
            <w:tcW w:w="7655" w:type="dxa"/>
          </w:tcPr>
          <w:p w:rsidR="00182818" w:rsidRPr="0062173B" w:rsidRDefault="00182818" w:rsidP="00B66982">
            <w:pPr>
              <w:pStyle w:val="NoSpacing"/>
              <w:jc w:val="both"/>
              <w:rPr>
                <w:rFonts w:asciiTheme="minorHAnsi" w:hAnsiTheme="minorHAnsi" w:cstheme="minorHAnsi"/>
              </w:rPr>
            </w:pPr>
          </w:p>
        </w:tc>
      </w:tr>
      <w:tr w:rsidR="00961CE4" w:rsidRPr="0062173B" w:rsidTr="002D2034">
        <w:tc>
          <w:tcPr>
            <w:tcW w:w="959" w:type="dxa"/>
          </w:tcPr>
          <w:p w:rsidR="00961CE4" w:rsidRPr="0062173B" w:rsidRDefault="00961CE4" w:rsidP="00B66982">
            <w:pPr>
              <w:pStyle w:val="NoSpacing"/>
              <w:jc w:val="both"/>
              <w:rPr>
                <w:rFonts w:asciiTheme="minorHAnsi" w:hAnsiTheme="minorHAnsi" w:cstheme="minorHAnsi"/>
              </w:rPr>
            </w:pPr>
            <w:r w:rsidRPr="0062173B">
              <w:rPr>
                <w:rFonts w:asciiTheme="minorHAnsi" w:hAnsiTheme="minorHAnsi" w:cstheme="minorHAnsi"/>
              </w:rPr>
              <w:t>14.79</w:t>
            </w:r>
          </w:p>
        </w:tc>
        <w:tc>
          <w:tcPr>
            <w:tcW w:w="1276" w:type="dxa"/>
          </w:tcPr>
          <w:p w:rsidR="00961CE4" w:rsidRPr="0062173B" w:rsidRDefault="00961CE4"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961CE4" w:rsidRPr="0062173B" w:rsidRDefault="00961CE4" w:rsidP="00B66982">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961CE4" w:rsidRPr="0062173B" w:rsidRDefault="00961CE4" w:rsidP="00141E24">
            <w:pPr>
              <w:pStyle w:val="NoSpacing"/>
              <w:jc w:val="both"/>
              <w:rPr>
                <w:rFonts w:asciiTheme="minorHAnsi" w:hAnsiTheme="minorHAnsi" w:cstheme="minorHAnsi"/>
              </w:rPr>
            </w:pPr>
            <w:r w:rsidRPr="0062173B">
              <w:rPr>
                <w:rFonts w:asciiTheme="minorHAnsi" w:hAnsiTheme="minorHAnsi" w:cstheme="minorHAnsi"/>
              </w:rPr>
              <w:t>The draft GC</w:t>
            </w:r>
            <w:r w:rsidR="00141E24" w:rsidRPr="0062173B">
              <w:rPr>
                <w:rFonts w:asciiTheme="minorHAnsi" w:hAnsiTheme="minorHAnsi" w:cstheme="minorHAnsi"/>
              </w:rPr>
              <w:t>U</w:t>
            </w:r>
            <w:r w:rsidRPr="0062173B">
              <w:rPr>
                <w:rFonts w:asciiTheme="minorHAnsi" w:hAnsiTheme="minorHAnsi" w:cstheme="minorHAnsi"/>
              </w:rPr>
              <w:t xml:space="preserve"> Strategy 2020 had been endorsed by Court at i</w:t>
            </w:r>
            <w:r w:rsidR="00141E24" w:rsidRPr="0062173B">
              <w:rPr>
                <w:rFonts w:asciiTheme="minorHAnsi" w:hAnsiTheme="minorHAnsi" w:cstheme="minorHAnsi"/>
              </w:rPr>
              <w:t>t</w:t>
            </w:r>
            <w:r w:rsidRPr="0062173B">
              <w:rPr>
                <w:rFonts w:asciiTheme="minorHAnsi" w:hAnsiTheme="minorHAnsi" w:cstheme="minorHAnsi"/>
              </w:rPr>
              <w:t>s meeting on 3</w:t>
            </w:r>
            <w:r w:rsidRPr="0062173B">
              <w:rPr>
                <w:rFonts w:asciiTheme="minorHAnsi" w:hAnsiTheme="minorHAnsi" w:cstheme="minorHAnsi"/>
                <w:vertAlign w:val="superscript"/>
              </w:rPr>
              <w:t>rd</w:t>
            </w:r>
            <w:r w:rsidRPr="0062173B">
              <w:rPr>
                <w:rFonts w:asciiTheme="minorHAnsi" w:hAnsiTheme="minorHAnsi" w:cstheme="minorHAnsi"/>
              </w:rPr>
              <w:t xml:space="preserve"> July 2014 and reviewed and endorsed at its Away Day on </w:t>
            </w:r>
            <w:r w:rsidR="00141E24" w:rsidRPr="0062173B">
              <w:rPr>
                <w:rFonts w:asciiTheme="minorHAnsi" w:hAnsiTheme="minorHAnsi" w:cstheme="minorHAnsi"/>
              </w:rPr>
              <w:t>8</w:t>
            </w:r>
            <w:r w:rsidR="00141E24" w:rsidRPr="0062173B">
              <w:rPr>
                <w:rFonts w:asciiTheme="minorHAnsi" w:hAnsiTheme="minorHAnsi" w:cstheme="minorHAnsi"/>
                <w:vertAlign w:val="superscript"/>
              </w:rPr>
              <w:t>th</w:t>
            </w:r>
            <w:r w:rsidR="00141E24" w:rsidRPr="0062173B">
              <w:rPr>
                <w:rFonts w:asciiTheme="minorHAnsi" w:hAnsiTheme="minorHAnsi" w:cstheme="minorHAnsi"/>
              </w:rPr>
              <w:t xml:space="preserve"> October 2014.</w:t>
            </w:r>
            <w:r w:rsidRPr="0062173B">
              <w:rPr>
                <w:rFonts w:asciiTheme="minorHAnsi" w:hAnsiTheme="minorHAnsi" w:cstheme="minorHAnsi"/>
              </w:rPr>
              <w:t xml:space="preserve"> </w:t>
            </w:r>
          </w:p>
        </w:tc>
      </w:tr>
      <w:tr w:rsidR="00961CE4" w:rsidRPr="0062173B" w:rsidTr="002D2034">
        <w:tc>
          <w:tcPr>
            <w:tcW w:w="959" w:type="dxa"/>
          </w:tcPr>
          <w:p w:rsidR="00961CE4" w:rsidRPr="0062173B" w:rsidRDefault="00961CE4" w:rsidP="00B66982">
            <w:pPr>
              <w:pStyle w:val="NoSpacing"/>
              <w:jc w:val="both"/>
              <w:rPr>
                <w:rFonts w:asciiTheme="minorHAnsi" w:hAnsiTheme="minorHAnsi" w:cstheme="minorHAnsi"/>
              </w:rPr>
            </w:pPr>
          </w:p>
        </w:tc>
        <w:tc>
          <w:tcPr>
            <w:tcW w:w="1276" w:type="dxa"/>
          </w:tcPr>
          <w:p w:rsidR="00961CE4" w:rsidRPr="0062173B" w:rsidRDefault="00961CE4" w:rsidP="00B66982">
            <w:pPr>
              <w:pStyle w:val="NoSpacing"/>
              <w:jc w:val="both"/>
              <w:rPr>
                <w:rFonts w:asciiTheme="minorHAnsi" w:hAnsiTheme="minorHAnsi" w:cstheme="minorHAnsi"/>
              </w:rPr>
            </w:pPr>
          </w:p>
        </w:tc>
        <w:tc>
          <w:tcPr>
            <w:tcW w:w="708" w:type="dxa"/>
          </w:tcPr>
          <w:p w:rsidR="00961CE4" w:rsidRPr="0062173B" w:rsidRDefault="00961CE4" w:rsidP="00B66982">
            <w:pPr>
              <w:pStyle w:val="NoSpacing"/>
              <w:jc w:val="both"/>
              <w:rPr>
                <w:rFonts w:asciiTheme="minorHAnsi" w:hAnsiTheme="minorHAnsi" w:cstheme="minorHAnsi"/>
              </w:rPr>
            </w:pPr>
          </w:p>
        </w:tc>
        <w:tc>
          <w:tcPr>
            <w:tcW w:w="7655" w:type="dxa"/>
          </w:tcPr>
          <w:p w:rsidR="00961CE4" w:rsidRPr="0062173B" w:rsidRDefault="00961CE4" w:rsidP="00B66982">
            <w:pPr>
              <w:pStyle w:val="NoSpacing"/>
              <w:jc w:val="both"/>
              <w:rPr>
                <w:rFonts w:asciiTheme="minorHAnsi" w:hAnsiTheme="minorHAnsi" w:cstheme="minorHAnsi"/>
              </w:rPr>
            </w:pPr>
          </w:p>
        </w:tc>
      </w:tr>
      <w:tr w:rsidR="00182818" w:rsidRPr="0062173B" w:rsidTr="002D2034">
        <w:tc>
          <w:tcPr>
            <w:tcW w:w="959" w:type="dxa"/>
          </w:tcPr>
          <w:p w:rsidR="00182818" w:rsidRPr="0062173B" w:rsidRDefault="00182818" w:rsidP="00B66982">
            <w:pPr>
              <w:pStyle w:val="NoSpacing"/>
              <w:jc w:val="both"/>
              <w:rPr>
                <w:rFonts w:asciiTheme="minorHAnsi" w:hAnsiTheme="minorHAnsi" w:cstheme="minorHAnsi"/>
              </w:rPr>
            </w:pPr>
          </w:p>
        </w:tc>
        <w:tc>
          <w:tcPr>
            <w:tcW w:w="1276" w:type="dxa"/>
          </w:tcPr>
          <w:p w:rsidR="00182818" w:rsidRPr="0062173B" w:rsidRDefault="00182818" w:rsidP="00B66982">
            <w:pPr>
              <w:pStyle w:val="NoSpacing"/>
              <w:jc w:val="both"/>
              <w:rPr>
                <w:rFonts w:asciiTheme="minorHAnsi" w:hAnsiTheme="minorHAnsi" w:cstheme="minorHAnsi"/>
              </w:rPr>
            </w:pPr>
          </w:p>
        </w:tc>
        <w:tc>
          <w:tcPr>
            <w:tcW w:w="708" w:type="dxa"/>
          </w:tcPr>
          <w:p w:rsidR="00182818" w:rsidRPr="0062173B" w:rsidRDefault="00961CE4" w:rsidP="00B66982">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182818" w:rsidRPr="0062173B" w:rsidRDefault="00961CE4" w:rsidP="00961CE4">
            <w:pPr>
              <w:pStyle w:val="NoSpacing"/>
              <w:jc w:val="both"/>
              <w:rPr>
                <w:rFonts w:asciiTheme="minorHAnsi" w:hAnsiTheme="minorHAnsi" w:cstheme="minorHAnsi"/>
              </w:rPr>
            </w:pPr>
            <w:r w:rsidRPr="0062173B">
              <w:rPr>
                <w:rFonts w:asciiTheme="minorHAnsi" w:hAnsiTheme="minorHAnsi" w:cstheme="minorHAnsi"/>
              </w:rPr>
              <w:t>The 2020 Strategy was a high level document underpinned by enabling strategies which had been/ would be submitted to Court for approval.</w:t>
            </w:r>
          </w:p>
        </w:tc>
      </w:tr>
      <w:tr w:rsidR="00961CE4" w:rsidRPr="0062173B" w:rsidTr="002D2034">
        <w:tc>
          <w:tcPr>
            <w:tcW w:w="959" w:type="dxa"/>
          </w:tcPr>
          <w:p w:rsidR="00961CE4" w:rsidRPr="0062173B" w:rsidRDefault="00961CE4" w:rsidP="00B66982">
            <w:pPr>
              <w:pStyle w:val="NoSpacing"/>
              <w:jc w:val="both"/>
              <w:rPr>
                <w:rFonts w:asciiTheme="minorHAnsi" w:hAnsiTheme="minorHAnsi" w:cstheme="minorHAnsi"/>
              </w:rPr>
            </w:pPr>
          </w:p>
        </w:tc>
        <w:tc>
          <w:tcPr>
            <w:tcW w:w="1276" w:type="dxa"/>
          </w:tcPr>
          <w:p w:rsidR="00961CE4" w:rsidRPr="0062173B" w:rsidRDefault="00961CE4" w:rsidP="00B66982">
            <w:pPr>
              <w:pStyle w:val="NoSpacing"/>
              <w:jc w:val="both"/>
              <w:rPr>
                <w:rFonts w:asciiTheme="minorHAnsi" w:hAnsiTheme="minorHAnsi" w:cstheme="minorHAnsi"/>
              </w:rPr>
            </w:pPr>
          </w:p>
        </w:tc>
        <w:tc>
          <w:tcPr>
            <w:tcW w:w="708" w:type="dxa"/>
          </w:tcPr>
          <w:p w:rsidR="00961CE4" w:rsidRPr="0062173B" w:rsidRDefault="00961CE4" w:rsidP="00B66982">
            <w:pPr>
              <w:pStyle w:val="NoSpacing"/>
              <w:jc w:val="both"/>
              <w:rPr>
                <w:rFonts w:asciiTheme="minorHAnsi" w:hAnsiTheme="minorHAnsi" w:cstheme="minorHAnsi"/>
              </w:rPr>
            </w:pPr>
          </w:p>
        </w:tc>
        <w:tc>
          <w:tcPr>
            <w:tcW w:w="7655" w:type="dxa"/>
          </w:tcPr>
          <w:p w:rsidR="00961CE4" w:rsidRPr="0062173B" w:rsidRDefault="00961CE4" w:rsidP="00961CE4">
            <w:pPr>
              <w:pStyle w:val="NoSpacing"/>
              <w:jc w:val="both"/>
              <w:rPr>
                <w:rFonts w:asciiTheme="minorHAnsi" w:hAnsiTheme="minorHAnsi" w:cstheme="minorHAnsi"/>
              </w:rPr>
            </w:pPr>
          </w:p>
        </w:tc>
      </w:tr>
      <w:tr w:rsidR="00961CE4" w:rsidRPr="0062173B" w:rsidTr="002D2034">
        <w:tc>
          <w:tcPr>
            <w:tcW w:w="959" w:type="dxa"/>
          </w:tcPr>
          <w:p w:rsidR="00961CE4" w:rsidRPr="0062173B" w:rsidRDefault="00961CE4" w:rsidP="00B66982">
            <w:pPr>
              <w:pStyle w:val="NoSpacing"/>
              <w:jc w:val="both"/>
              <w:rPr>
                <w:rFonts w:asciiTheme="minorHAnsi" w:hAnsiTheme="minorHAnsi" w:cstheme="minorHAnsi"/>
              </w:rPr>
            </w:pPr>
            <w:r w:rsidRPr="0062173B">
              <w:rPr>
                <w:rFonts w:asciiTheme="minorHAnsi" w:hAnsiTheme="minorHAnsi" w:cstheme="minorHAnsi"/>
              </w:rPr>
              <w:t>14.80</w:t>
            </w:r>
          </w:p>
        </w:tc>
        <w:tc>
          <w:tcPr>
            <w:tcW w:w="1276" w:type="dxa"/>
          </w:tcPr>
          <w:p w:rsidR="00961CE4" w:rsidRPr="0062173B" w:rsidRDefault="00961CE4" w:rsidP="00B66982">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961CE4" w:rsidRPr="0062173B" w:rsidRDefault="00961CE4" w:rsidP="00B66982">
            <w:pPr>
              <w:pStyle w:val="NoSpacing"/>
              <w:jc w:val="both"/>
              <w:rPr>
                <w:rFonts w:asciiTheme="minorHAnsi" w:hAnsiTheme="minorHAnsi" w:cstheme="minorHAnsi"/>
              </w:rPr>
            </w:pPr>
          </w:p>
        </w:tc>
        <w:tc>
          <w:tcPr>
            <w:tcW w:w="7655" w:type="dxa"/>
          </w:tcPr>
          <w:p w:rsidR="00961CE4" w:rsidRPr="0062173B" w:rsidRDefault="00961CE4" w:rsidP="00961CE4">
            <w:pPr>
              <w:pStyle w:val="NoSpacing"/>
              <w:jc w:val="both"/>
              <w:rPr>
                <w:rFonts w:asciiTheme="minorHAnsi" w:hAnsiTheme="minorHAnsi" w:cstheme="minorHAnsi"/>
              </w:rPr>
            </w:pPr>
            <w:r w:rsidRPr="0062173B">
              <w:rPr>
                <w:rFonts w:asciiTheme="minorHAnsi" w:hAnsiTheme="minorHAnsi" w:cstheme="minorHAnsi"/>
              </w:rPr>
              <w:t>To give final approval to the GCU Strategy 2020.</w:t>
            </w:r>
          </w:p>
        </w:tc>
      </w:tr>
    </w:tbl>
    <w:p w:rsidR="00BF0B3B" w:rsidRPr="0062173B" w:rsidRDefault="00BF0B3B" w:rsidP="00754C04">
      <w:pPr>
        <w:pStyle w:val="NoSpacing"/>
        <w:jc w:val="both"/>
        <w:rPr>
          <w:rFonts w:asciiTheme="minorHAnsi" w:hAnsiTheme="minorHAnsi" w:cstheme="minorHAnsi"/>
          <w:b/>
        </w:rPr>
      </w:pPr>
    </w:p>
    <w:p w:rsidR="0006309B" w:rsidRPr="0062173B" w:rsidRDefault="00141E24" w:rsidP="00754C04">
      <w:pPr>
        <w:pStyle w:val="NoSpacing"/>
        <w:jc w:val="both"/>
        <w:rPr>
          <w:rFonts w:asciiTheme="minorHAnsi" w:hAnsiTheme="minorHAnsi" w:cstheme="minorHAnsi"/>
          <w:b/>
        </w:rPr>
      </w:pPr>
      <w:r w:rsidRPr="0062173B">
        <w:rPr>
          <w:rFonts w:asciiTheme="minorHAnsi" w:hAnsiTheme="minorHAnsi" w:cstheme="minorHAnsi"/>
          <w:b/>
        </w:rPr>
        <w:lastRenderedPageBreak/>
        <w:t>2020 Strategic Indicators</w:t>
      </w:r>
    </w:p>
    <w:p w:rsidR="00141E24" w:rsidRPr="0062173B" w:rsidRDefault="00141E24"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141E24" w:rsidRPr="0062173B" w:rsidTr="002D2034">
        <w:tc>
          <w:tcPr>
            <w:tcW w:w="959" w:type="dxa"/>
          </w:tcPr>
          <w:p w:rsidR="00141E24" w:rsidRPr="0062173B" w:rsidRDefault="00141E24" w:rsidP="00B66982">
            <w:pPr>
              <w:pStyle w:val="NoSpacing"/>
              <w:jc w:val="both"/>
              <w:rPr>
                <w:rFonts w:asciiTheme="minorHAnsi" w:hAnsiTheme="minorHAnsi" w:cstheme="minorHAnsi"/>
              </w:rPr>
            </w:pPr>
            <w:r w:rsidRPr="0062173B">
              <w:rPr>
                <w:rFonts w:asciiTheme="minorHAnsi" w:hAnsiTheme="minorHAnsi" w:cstheme="minorHAnsi"/>
              </w:rPr>
              <w:t>14.81</w:t>
            </w:r>
          </w:p>
        </w:tc>
        <w:tc>
          <w:tcPr>
            <w:tcW w:w="1276" w:type="dxa"/>
          </w:tcPr>
          <w:p w:rsidR="00141E24" w:rsidRPr="0062173B" w:rsidRDefault="00141E24" w:rsidP="00B66982">
            <w:pPr>
              <w:pStyle w:val="NoSpacing"/>
              <w:jc w:val="both"/>
              <w:rPr>
                <w:rFonts w:asciiTheme="minorHAnsi" w:hAnsiTheme="minorHAnsi" w:cstheme="minorHAnsi"/>
              </w:rPr>
            </w:pPr>
            <w:r w:rsidRPr="0062173B">
              <w:rPr>
                <w:rFonts w:asciiTheme="minorHAnsi" w:hAnsiTheme="minorHAnsi" w:cstheme="minorHAnsi"/>
              </w:rPr>
              <w:t>Considered</w:t>
            </w:r>
          </w:p>
        </w:tc>
        <w:tc>
          <w:tcPr>
            <w:tcW w:w="708" w:type="dxa"/>
          </w:tcPr>
          <w:p w:rsidR="00141E24" w:rsidRPr="0062173B" w:rsidRDefault="00141E24" w:rsidP="00B66982">
            <w:pPr>
              <w:pStyle w:val="NoSpacing"/>
              <w:jc w:val="both"/>
              <w:rPr>
                <w:rFonts w:asciiTheme="minorHAnsi" w:hAnsiTheme="minorHAnsi" w:cstheme="minorHAnsi"/>
              </w:rPr>
            </w:pPr>
          </w:p>
        </w:tc>
        <w:tc>
          <w:tcPr>
            <w:tcW w:w="7655" w:type="dxa"/>
          </w:tcPr>
          <w:p w:rsidR="00141E24" w:rsidRPr="0062173B" w:rsidRDefault="00141E24" w:rsidP="00141E24">
            <w:pPr>
              <w:pStyle w:val="NoSpacing"/>
              <w:jc w:val="both"/>
              <w:rPr>
                <w:rFonts w:asciiTheme="minorHAnsi" w:hAnsiTheme="minorHAnsi" w:cstheme="minorHAnsi"/>
              </w:rPr>
            </w:pPr>
            <w:r w:rsidRPr="0062173B">
              <w:rPr>
                <w:rFonts w:asciiTheme="minorHAnsi" w:hAnsiTheme="minorHAnsi" w:cstheme="minorHAnsi"/>
              </w:rPr>
              <w:t xml:space="preserve">Document UC14/39 the 2020 Strategic Indicators. </w:t>
            </w:r>
          </w:p>
        </w:tc>
      </w:tr>
      <w:tr w:rsidR="00AD51F4" w:rsidRPr="0062173B" w:rsidTr="002D2034">
        <w:tc>
          <w:tcPr>
            <w:tcW w:w="959" w:type="dxa"/>
          </w:tcPr>
          <w:p w:rsidR="00AD51F4" w:rsidRPr="0062173B" w:rsidRDefault="00AD51F4" w:rsidP="00B66982">
            <w:pPr>
              <w:pStyle w:val="NoSpacing"/>
              <w:jc w:val="both"/>
              <w:rPr>
                <w:rFonts w:asciiTheme="minorHAnsi" w:hAnsiTheme="minorHAnsi" w:cstheme="minorHAnsi"/>
              </w:rPr>
            </w:pPr>
          </w:p>
        </w:tc>
        <w:tc>
          <w:tcPr>
            <w:tcW w:w="1276" w:type="dxa"/>
          </w:tcPr>
          <w:p w:rsidR="00AD51F4" w:rsidRPr="0062173B" w:rsidRDefault="00AD51F4" w:rsidP="00B66982">
            <w:pPr>
              <w:pStyle w:val="NoSpacing"/>
              <w:jc w:val="both"/>
              <w:rPr>
                <w:rFonts w:asciiTheme="minorHAnsi" w:hAnsiTheme="minorHAnsi" w:cstheme="minorHAnsi"/>
              </w:rPr>
            </w:pPr>
          </w:p>
        </w:tc>
        <w:tc>
          <w:tcPr>
            <w:tcW w:w="708" w:type="dxa"/>
          </w:tcPr>
          <w:p w:rsidR="00AD51F4" w:rsidRPr="0062173B" w:rsidRDefault="00AD51F4" w:rsidP="00B66982">
            <w:pPr>
              <w:pStyle w:val="NoSpacing"/>
              <w:jc w:val="both"/>
              <w:rPr>
                <w:rFonts w:asciiTheme="minorHAnsi" w:hAnsiTheme="minorHAnsi" w:cstheme="minorHAnsi"/>
              </w:rPr>
            </w:pPr>
          </w:p>
        </w:tc>
        <w:tc>
          <w:tcPr>
            <w:tcW w:w="7655" w:type="dxa"/>
          </w:tcPr>
          <w:p w:rsidR="00AD51F4" w:rsidRPr="0062173B" w:rsidRDefault="00AD51F4" w:rsidP="00141E24">
            <w:pPr>
              <w:pStyle w:val="NoSpacing"/>
              <w:jc w:val="both"/>
              <w:rPr>
                <w:rFonts w:asciiTheme="minorHAnsi" w:hAnsiTheme="minorHAnsi" w:cstheme="minorHAnsi"/>
              </w:rPr>
            </w:pPr>
          </w:p>
        </w:tc>
      </w:tr>
      <w:tr w:rsidR="00AD51F4" w:rsidRPr="0062173B" w:rsidTr="002D2034">
        <w:tc>
          <w:tcPr>
            <w:tcW w:w="959" w:type="dxa"/>
          </w:tcPr>
          <w:p w:rsidR="00AD51F4" w:rsidRPr="0062173B" w:rsidRDefault="00AD51F4" w:rsidP="00B66982">
            <w:pPr>
              <w:pStyle w:val="NoSpacing"/>
              <w:jc w:val="both"/>
              <w:rPr>
                <w:rFonts w:asciiTheme="minorHAnsi" w:hAnsiTheme="minorHAnsi" w:cstheme="minorHAnsi"/>
              </w:rPr>
            </w:pPr>
            <w:r w:rsidRPr="0062173B">
              <w:rPr>
                <w:rFonts w:asciiTheme="minorHAnsi" w:hAnsiTheme="minorHAnsi" w:cstheme="minorHAnsi"/>
              </w:rPr>
              <w:t>14.82</w:t>
            </w:r>
          </w:p>
        </w:tc>
        <w:tc>
          <w:tcPr>
            <w:tcW w:w="1276" w:type="dxa"/>
          </w:tcPr>
          <w:p w:rsidR="00AD51F4" w:rsidRPr="0062173B" w:rsidRDefault="00AD51F4" w:rsidP="00B66982">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AD51F4" w:rsidRPr="0062173B" w:rsidRDefault="00B66982" w:rsidP="00B66982">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AD51F4" w:rsidRPr="0062173B" w:rsidRDefault="00AD51F4" w:rsidP="00AD51F4">
            <w:pPr>
              <w:pStyle w:val="NoSpacing"/>
              <w:jc w:val="both"/>
              <w:rPr>
                <w:rFonts w:asciiTheme="minorHAnsi" w:hAnsiTheme="minorHAnsi" w:cstheme="minorHAnsi"/>
              </w:rPr>
            </w:pPr>
            <w:r w:rsidRPr="0062173B">
              <w:rPr>
                <w:rFonts w:asciiTheme="minorHAnsi" w:hAnsiTheme="minorHAnsi" w:cstheme="minorHAnsi"/>
              </w:rPr>
              <w:t>The 2020 strategic indicators had been discussed and endorsed by Court at its Away Day on 8</w:t>
            </w:r>
            <w:r w:rsidRPr="0062173B">
              <w:rPr>
                <w:rFonts w:asciiTheme="minorHAnsi" w:hAnsiTheme="minorHAnsi" w:cstheme="minorHAnsi"/>
                <w:vertAlign w:val="superscript"/>
              </w:rPr>
              <w:t>th</w:t>
            </w:r>
            <w:r w:rsidRPr="0062173B">
              <w:rPr>
                <w:rFonts w:asciiTheme="minorHAnsi" w:hAnsiTheme="minorHAnsi" w:cstheme="minorHAnsi"/>
              </w:rPr>
              <w:t xml:space="preserve"> October 2014.</w:t>
            </w:r>
          </w:p>
        </w:tc>
      </w:tr>
      <w:tr w:rsidR="009E1DF2" w:rsidRPr="0062173B" w:rsidTr="002D2034">
        <w:tc>
          <w:tcPr>
            <w:tcW w:w="959" w:type="dxa"/>
          </w:tcPr>
          <w:p w:rsidR="009E1DF2" w:rsidRPr="0062173B" w:rsidRDefault="009E1DF2" w:rsidP="00B66982">
            <w:pPr>
              <w:pStyle w:val="NoSpacing"/>
              <w:jc w:val="both"/>
              <w:rPr>
                <w:rFonts w:asciiTheme="minorHAnsi" w:hAnsiTheme="minorHAnsi" w:cstheme="minorHAnsi"/>
              </w:rPr>
            </w:pPr>
          </w:p>
        </w:tc>
        <w:tc>
          <w:tcPr>
            <w:tcW w:w="1276" w:type="dxa"/>
          </w:tcPr>
          <w:p w:rsidR="009E1DF2" w:rsidRPr="0062173B" w:rsidRDefault="009E1DF2" w:rsidP="00B66982">
            <w:pPr>
              <w:pStyle w:val="NoSpacing"/>
              <w:jc w:val="both"/>
              <w:rPr>
                <w:rFonts w:asciiTheme="minorHAnsi" w:hAnsiTheme="minorHAnsi" w:cstheme="minorHAnsi"/>
              </w:rPr>
            </w:pPr>
          </w:p>
        </w:tc>
        <w:tc>
          <w:tcPr>
            <w:tcW w:w="708" w:type="dxa"/>
          </w:tcPr>
          <w:p w:rsidR="009E1DF2" w:rsidRPr="0062173B" w:rsidRDefault="009E1DF2" w:rsidP="00B66982">
            <w:pPr>
              <w:pStyle w:val="NoSpacing"/>
              <w:jc w:val="both"/>
              <w:rPr>
                <w:rFonts w:asciiTheme="minorHAnsi" w:hAnsiTheme="minorHAnsi" w:cstheme="minorHAnsi"/>
              </w:rPr>
            </w:pPr>
          </w:p>
        </w:tc>
        <w:tc>
          <w:tcPr>
            <w:tcW w:w="7655" w:type="dxa"/>
          </w:tcPr>
          <w:p w:rsidR="009E1DF2" w:rsidRPr="0062173B" w:rsidRDefault="009E1DF2" w:rsidP="00AD51F4">
            <w:pPr>
              <w:pStyle w:val="NoSpacing"/>
              <w:jc w:val="both"/>
              <w:rPr>
                <w:rFonts w:asciiTheme="minorHAnsi" w:hAnsiTheme="minorHAnsi" w:cstheme="minorHAnsi"/>
              </w:rPr>
            </w:pPr>
          </w:p>
        </w:tc>
      </w:tr>
      <w:tr w:rsidR="009E1DF2" w:rsidRPr="0062173B" w:rsidTr="002D2034">
        <w:tc>
          <w:tcPr>
            <w:tcW w:w="959" w:type="dxa"/>
          </w:tcPr>
          <w:p w:rsidR="009E1DF2" w:rsidRPr="0062173B" w:rsidRDefault="002050A2" w:rsidP="00B66982">
            <w:pPr>
              <w:pStyle w:val="NoSpacing"/>
              <w:jc w:val="both"/>
              <w:rPr>
                <w:rFonts w:asciiTheme="minorHAnsi" w:hAnsiTheme="minorHAnsi" w:cstheme="minorHAnsi"/>
              </w:rPr>
            </w:pPr>
            <w:r w:rsidRPr="0062173B">
              <w:rPr>
                <w:rFonts w:asciiTheme="minorHAnsi" w:hAnsiTheme="minorHAnsi" w:cstheme="minorHAnsi"/>
              </w:rPr>
              <w:t>14.83</w:t>
            </w:r>
          </w:p>
        </w:tc>
        <w:tc>
          <w:tcPr>
            <w:tcW w:w="1276" w:type="dxa"/>
          </w:tcPr>
          <w:p w:rsidR="009E1DF2" w:rsidRPr="0062173B" w:rsidRDefault="002050A2" w:rsidP="00B66982">
            <w:pPr>
              <w:pStyle w:val="NoSpacing"/>
              <w:jc w:val="both"/>
              <w:rPr>
                <w:rFonts w:asciiTheme="minorHAnsi" w:hAnsiTheme="minorHAnsi" w:cstheme="minorHAnsi"/>
              </w:rPr>
            </w:pPr>
            <w:r w:rsidRPr="0062173B">
              <w:rPr>
                <w:rFonts w:asciiTheme="minorHAnsi" w:hAnsiTheme="minorHAnsi" w:cstheme="minorHAnsi"/>
              </w:rPr>
              <w:t>Discussed</w:t>
            </w:r>
          </w:p>
        </w:tc>
        <w:tc>
          <w:tcPr>
            <w:tcW w:w="708" w:type="dxa"/>
          </w:tcPr>
          <w:p w:rsidR="009E1DF2" w:rsidRPr="0062173B" w:rsidRDefault="00B66982" w:rsidP="002050A2">
            <w:pPr>
              <w:pStyle w:val="NoSpacing"/>
              <w:jc w:val="both"/>
              <w:rPr>
                <w:rFonts w:asciiTheme="minorHAnsi" w:hAnsiTheme="minorHAnsi" w:cstheme="minorHAnsi"/>
              </w:rPr>
            </w:pPr>
            <w:r w:rsidRPr="0062173B">
              <w:rPr>
                <w:rFonts w:asciiTheme="minorHAnsi" w:hAnsiTheme="minorHAnsi" w:cstheme="minorHAnsi"/>
              </w:rPr>
              <w:t>i.</w:t>
            </w:r>
          </w:p>
        </w:tc>
        <w:tc>
          <w:tcPr>
            <w:tcW w:w="7655" w:type="dxa"/>
          </w:tcPr>
          <w:p w:rsidR="009E1DF2" w:rsidRPr="0062173B" w:rsidRDefault="002050A2" w:rsidP="00E21590">
            <w:pPr>
              <w:pStyle w:val="NoSpacing"/>
              <w:jc w:val="both"/>
              <w:rPr>
                <w:rFonts w:asciiTheme="minorHAnsi" w:hAnsiTheme="minorHAnsi" w:cstheme="minorHAnsi"/>
              </w:rPr>
            </w:pPr>
            <w:r w:rsidRPr="0062173B">
              <w:rPr>
                <w:rFonts w:asciiTheme="minorHAnsi" w:hAnsiTheme="minorHAnsi" w:cstheme="minorHAnsi"/>
              </w:rPr>
              <w:t>Court discussed the proposed 2020 strategic indicators and sought and obtained clarification to points of detail. Main points raised included:</w:t>
            </w:r>
          </w:p>
        </w:tc>
      </w:tr>
      <w:tr w:rsidR="004814D9" w:rsidRPr="0062173B" w:rsidTr="002D2034">
        <w:tc>
          <w:tcPr>
            <w:tcW w:w="959" w:type="dxa"/>
          </w:tcPr>
          <w:p w:rsidR="004814D9" w:rsidRPr="0062173B" w:rsidRDefault="004814D9" w:rsidP="00B66982">
            <w:pPr>
              <w:pStyle w:val="NoSpacing"/>
              <w:jc w:val="both"/>
              <w:rPr>
                <w:rFonts w:asciiTheme="minorHAnsi" w:hAnsiTheme="minorHAnsi" w:cstheme="minorHAnsi"/>
              </w:rPr>
            </w:pPr>
          </w:p>
        </w:tc>
        <w:tc>
          <w:tcPr>
            <w:tcW w:w="1276" w:type="dxa"/>
          </w:tcPr>
          <w:p w:rsidR="004814D9" w:rsidRPr="0062173B" w:rsidRDefault="004814D9" w:rsidP="00B66982">
            <w:pPr>
              <w:pStyle w:val="NoSpacing"/>
              <w:jc w:val="both"/>
              <w:rPr>
                <w:rFonts w:asciiTheme="minorHAnsi" w:hAnsiTheme="minorHAnsi" w:cstheme="minorHAnsi"/>
              </w:rPr>
            </w:pPr>
          </w:p>
        </w:tc>
        <w:tc>
          <w:tcPr>
            <w:tcW w:w="708" w:type="dxa"/>
          </w:tcPr>
          <w:p w:rsidR="004814D9" w:rsidRPr="0062173B" w:rsidRDefault="004814D9" w:rsidP="002050A2">
            <w:pPr>
              <w:pStyle w:val="NoSpacing"/>
              <w:jc w:val="both"/>
              <w:rPr>
                <w:rFonts w:asciiTheme="minorHAnsi" w:hAnsiTheme="minorHAnsi" w:cstheme="minorHAnsi"/>
              </w:rPr>
            </w:pPr>
          </w:p>
        </w:tc>
        <w:tc>
          <w:tcPr>
            <w:tcW w:w="7655" w:type="dxa"/>
          </w:tcPr>
          <w:p w:rsidR="004814D9" w:rsidRPr="0062173B" w:rsidRDefault="004814D9" w:rsidP="00E21590">
            <w:pPr>
              <w:pStyle w:val="NoSpacing"/>
              <w:jc w:val="both"/>
              <w:rPr>
                <w:rFonts w:asciiTheme="minorHAnsi" w:hAnsiTheme="minorHAnsi" w:cstheme="minorHAnsi"/>
              </w:rPr>
            </w:pPr>
          </w:p>
        </w:tc>
      </w:tr>
      <w:tr w:rsidR="002050A2" w:rsidRPr="0062173B" w:rsidTr="002D2034">
        <w:tc>
          <w:tcPr>
            <w:tcW w:w="959" w:type="dxa"/>
          </w:tcPr>
          <w:p w:rsidR="002050A2" w:rsidRPr="0062173B" w:rsidRDefault="002050A2" w:rsidP="00B66982">
            <w:pPr>
              <w:pStyle w:val="NoSpacing"/>
              <w:jc w:val="both"/>
              <w:rPr>
                <w:rFonts w:asciiTheme="minorHAnsi" w:hAnsiTheme="minorHAnsi" w:cstheme="minorHAnsi"/>
              </w:rPr>
            </w:pPr>
          </w:p>
        </w:tc>
        <w:tc>
          <w:tcPr>
            <w:tcW w:w="1276" w:type="dxa"/>
          </w:tcPr>
          <w:p w:rsidR="002050A2" w:rsidRPr="0062173B" w:rsidRDefault="002050A2" w:rsidP="00B66982">
            <w:pPr>
              <w:pStyle w:val="NoSpacing"/>
              <w:jc w:val="both"/>
              <w:rPr>
                <w:rFonts w:asciiTheme="minorHAnsi" w:hAnsiTheme="minorHAnsi" w:cstheme="minorHAnsi"/>
              </w:rPr>
            </w:pPr>
          </w:p>
        </w:tc>
        <w:tc>
          <w:tcPr>
            <w:tcW w:w="708" w:type="dxa"/>
          </w:tcPr>
          <w:p w:rsidR="002050A2" w:rsidRPr="0062173B" w:rsidRDefault="004814D9" w:rsidP="00B66982">
            <w:pPr>
              <w:pStyle w:val="NoSpacing"/>
              <w:jc w:val="both"/>
              <w:rPr>
                <w:rFonts w:asciiTheme="minorHAnsi" w:hAnsiTheme="minorHAnsi" w:cstheme="minorHAnsi"/>
              </w:rPr>
            </w:pPr>
            <w:r w:rsidRPr="0062173B">
              <w:rPr>
                <w:rFonts w:asciiTheme="minorHAnsi" w:hAnsiTheme="minorHAnsi" w:cstheme="minorHAnsi"/>
              </w:rPr>
              <w:t>ii.</w:t>
            </w:r>
          </w:p>
        </w:tc>
        <w:tc>
          <w:tcPr>
            <w:tcW w:w="7655" w:type="dxa"/>
          </w:tcPr>
          <w:p w:rsidR="002050A2" w:rsidRPr="0062173B" w:rsidRDefault="002050A2" w:rsidP="00BA39EB">
            <w:pPr>
              <w:pStyle w:val="NoSpacing"/>
              <w:jc w:val="both"/>
              <w:rPr>
                <w:rFonts w:asciiTheme="minorHAnsi" w:hAnsiTheme="minorHAnsi" w:cs="Courier New"/>
                <w:color w:val="000000"/>
              </w:rPr>
            </w:pPr>
            <w:r w:rsidRPr="0062173B">
              <w:rPr>
                <w:rFonts w:asciiTheme="minorHAnsi" w:hAnsiTheme="minorHAnsi" w:cs="Courier New"/>
                <w:color w:val="000000"/>
              </w:rPr>
              <w:t xml:space="preserve">It was suggested that consideration might be given to aspirations for increasing the value of the University brand.  </w:t>
            </w:r>
          </w:p>
        </w:tc>
      </w:tr>
      <w:tr w:rsidR="004814D9" w:rsidRPr="0062173B" w:rsidTr="002D2034">
        <w:tc>
          <w:tcPr>
            <w:tcW w:w="959" w:type="dxa"/>
          </w:tcPr>
          <w:p w:rsidR="004814D9" w:rsidRPr="0062173B" w:rsidRDefault="004814D9" w:rsidP="00B66982">
            <w:pPr>
              <w:pStyle w:val="NoSpacing"/>
              <w:jc w:val="both"/>
              <w:rPr>
                <w:rFonts w:asciiTheme="minorHAnsi" w:hAnsiTheme="minorHAnsi" w:cstheme="minorHAnsi"/>
              </w:rPr>
            </w:pPr>
          </w:p>
        </w:tc>
        <w:tc>
          <w:tcPr>
            <w:tcW w:w="1276" w:type="dxa"/>
          </w:tcPr>
          <w:p w:rsidR="004814D9" w:rsidRPr="0062173B" w:rsidRDefault="004814D9" w:rsidP="00B66982">
            <w:pPr>
              <w:pStyle w:val="NoSpacing"/>
              <w:jc w:val="both"/>
              <w:rPr>
                <w:rFonts w:asciiTheme="minorHAnsi" w:hAnsiTheme="minorHAnsi" w:cstheme="minorHAnsi"/>
              </w:rPr>
            </w:pPr>
          </w:p>
        </w:tc>
        <w:tc>
          <w:tcPr>
            <w:tcW w:w="708" w:type="dxa"/>
          </w:tcPr>
          <w:p w:rsidR="004814D9" w:rsidRPr="0062173B" w:rsidRDefault="004814D9" w:rsidP="00B66982">
            <w:pPr>
              <w:pStyle w:val="NoSpacing"/>
              <w:jc w:val="both"/>
              <w:rPr>
                <w:rFonts w:asciiTheme="minorHAnsi" w:hAnsiTheme="minorHAnsi" w:cstheme="minorHAnsi"/>
              </w:rPr>
            </w:pPr>
          </w:p>
        </w:tc>
        <w:tc>
          <w:tcPr>
            <w:tcW w:w="7655" w:type="dxa"/>
          </w:tcPr>
          <w:p w:rsidR="004814D9" w:rsidRPr="0062173B" w:rsidRDefault="004814D9" w:rsidP="00BA39EB">
            <w:pPr>
              <w:pStyle w:val="NoSpacing"/>
              <w:jc w:val="both"/>
              <w:rPr>
                <w:rFonts w:asciiTheme="minorHAnsi" w:hAnsiTheme="minorHAnsi" w:cs="Courier New"/>
                <w:color w:val="000000"/>
              </w:rPr>
            </w:pPr>
          </w:p>
        </w:tc>
      </w:tr>
      <w:tr w:rsidR="002050A2" w:rsidRPr="0062173B" w:rsidTr="002D2034">
        <w:tc>
          <w:tcPr>
            <w:tcW w:w="959" w:type="dxa"/>
          </w:tcPr>
          <w:p w:rsidR="002050A2" w:rsidRPr="0062173B" w:rsidRDefault="002050A2" w:rsidP="00B66982">
            <w:pPr>
              <w:pStyle w:val="NoSpacing"/>
              <w:jc w:val="both"/>
              <w:rPr>
                <w:rFonts w:asciiTheme="minorHAnsi" w:hAnsiTheme="minorHAnsi" w:cstheme="minorHAnsi"/>
              </w:rPr>
            </w:pPr>
          </w:p>
        </w:tc>
        <w:tc>
          <w:tcPr>
            <w:tcW w:w="1276" w:type="dxa"/>
          </w:tcPr>
          <w:p w:rsidR="002050A2" w:rsidRPr="0062173B" w:rsidRDefault="002050A2" w:rsidP="00B66982">
            <w:pPr>
              <w:pStyle w:val="NoSpacing"/>
              <w:jc w:val="both"/>
              <w:rPr>
                <w:rFonts w:asciiTheme="minorHAnsi" w:hAnsiTheme="minorHAnsi" w:cstheme="minorHAnsi"/>
              </w:rPr>
            </w:pPr>
          </w:p>
        </w:tc>
        <w:tc>
          <w:tcPr>
            <w:tcW w:w="708" w:type="dxa"/>
          </w:tcPr>
          <w:p w:rsidR="002050A2" w:rsidRPr="0062173B" w:rsidRDefault="004814D9" w:rsidP="00B66982">
            <w:pPr>
              <w:pStyle w:val="NoSpacing"/>
              <w:jc w:val="both"/>
              <w:rPr>
                <w:rFonts w:asciiTheme="minorHAnsi" w:hAnsiTheme="minorHAnsi" w:cstheme="minorHAnsi"/>
              </w:rPr>
            </w:pPr>
            <w:r w:rsidRPr="0062173B">
              <w:rPr>
                <w:rFonts w:asciiTheme="minorHAnsi" w:hAnsiTheme="minorHAnsi" w:cstheme="minorHAnsi"/>
              </w:rPr>
              <w:t>iii.</w:t>
            </w:r>
          </w:p>
        </w:tc>
        <w:tc>
          <w:tcPr>
            <w:tcW w:w="7655" w:type="dxa"/>
          </w:tcPr>
          <w:p w:rsidR="00BA39EB" w:rsidRPr="0062173B" w:rsidRDefault="002050A2" w:rsidP="00BA39EB">
            <w:pPr>
              <w:pStyle w:val="NoSpacing"/>
              <w:ind w:left="27" w:hanging="27"/>
              <w:jc w:val="both"/>
              <w:rPr>
                <w:rFonts w:asciiTheme="minorHAnsi" w:hAnsiTheme="minorHAnsi" w:cstheme="minorHAnsi"/>
              </w:rPr>
            </w:pPr>
            <w:r w:rsidRPr="0062173B">
              <w:rPr>
                <w:rFonts w:asciiTheme="minorHAnsi" w:hAnsiTheme="minorHAnsi" w:cs="Courier New"/>
                <w:color w:val="000000"/>
              </w:rPr>
              <w:t xml:space="preserve">With reference to the target for increasing commercial income, </w:t>
            </w:r>
            <w:r w:rsidR="00BA39EB" w:rsidRPr="0062173B">
              <w:rPr>
                <w:rFonts w:asciiTheme="minorHAnsi" w:hAnsiTheme="minorHAnsi" w:cstheme="minorHAnsi"/>
              </w:rPr>
              <w:t xml:space="preserve">Vice-Principal and Pro Vice Chancellor Business Development, Enterprise and Innovation </w:t>
            </w:r>
          </w:p>
          <w:p w:rsidR="002050A2" w:rsidRPr="0062173B" w:rsidRDefault="002050A2" w:rsidP="00BA39EB">
            <w:pPr>
              <w:pStyle w:val="NoSpacing"/>
              <w:jc w:val="both"/>
              <w:rPr>
                <w:rFonts w:asciiTheme="minorHAnsi" w:hAnsiTheme="minorHAnsi" w:cs="Courier New"/>
                <w:color w:val="000000"/>
              </w:rPr>
            </w:pPr>
            <w:proofErr w:type="gramStart"/>
            <w:r w:rsidRPr="0062173B">
              <w:rPr>
                <w:rFonts w:asciiTheme="minorHAnsi" w:hAnsiTheme="minorHAnsi" w:cs="Courier New"/>
                <w:color w:val="000000"/>
              </w:rPr>
              <w:t>advised</w:t>
            </w:r>
            <w:proofErr w:type="gramEnd"/>
            <w:r w:rsidRPr="0062173B">
              <w:rPr>
                <w:rFonts w:asciiTheme="minorHAnsi" w:hAnsiTheme="minorHAnsi" w:cs="Courier New"/>
                <w:color w:val="000000"/>
              </w:rPr>
              <w:t xml:space="preserve"> </w:t>
            </w:r>
            <w:r w:rsidR="00BA39EB" w:rsidRPr="0062173B">
              <w:rPr>
                <w:rFonts w:asciiTheme="minorHAnsi" w:hAnsiTheme="minorHAnsi" w:cs="Courier New"/>
                <w:color w:val="000000"/>
              </w:rPr>
              <w:t xml:space="preserve">Court </w:t>
            </w:r>
            <w:r w:rsidRPr="0062173B">
              <w:rPr>
                <w:rFonts w:asciiTheme="minorHAnsi" w:hAnsiTheme="minorHAnsi" w:cs="Courier New"/>
                <w:color w:val="000000"/>
              </w:rPr>
              <w:t>that</w:t>
            </w:r>
            <w:r w:rsidR="00BA39EB" w:rsidRPr="0062173B">
              <w:rPr>
                <w:rFonts w:asciiTheme="minorHAnsi" w:hAnsiTheme="minorHAnsi" w:cs="Courier New"/>
                <w:color w:val="000000"/>
              </w:rPr>
              <w:t>,</w:t>
            </w:r>
            <w:r w:rsidRPr="0062173B">
              <w:rPr>
                <w:rFonts w:asciiTheme="minorHAnsi" w:hAnsiTheme="minorHAnsi" w:cs="Courier New"/>
                <w:color w:val="000000"/>
              </w:rPr>
              <w:t xml:space="preserve"> although this was an ambitious target, it was achievable.  </w:t>
            </w:r>
            <w:r w:rsidR="00BA39EB" w:rsidRPr="0062173B">
              <w:rPr>
                <w:rFonts w:asciiTheme="minorHAnsi" w:hAnsiTheme="minorHAnsi" w:cs="Courier New"/>
                <w:color w:val="000000"/>
              </w:rPr>
              <w:t>A business enterprise strategy was being developed which it was intended to submit to the January or March 2015 meeting of Court.</w:t>
            </w:r>
          </w:p>
        </w:tc>
      </w:tr>
      <w:tr w:rsidR="004814D9" w:rsidRPr="0062173B" w:rsidTr="002D2034">
        <w:tc>
          <w:tcPr>
            <w:tcW w:w="959" w:type="dxa"/>
          </w:tcPr>
          <w:p w:rsidR="004814D9" w:rsidRPr="0062173B" w:rsidRDefault="004814D9" w:rsidP="00B66982">
            <w:pPr>
              <w:pStyle w:val="NoSpacing"/>
              <w:jc w:val="both"/>
              <w:rPr>
                <w:rFonts w:asciiTheme="minorHAnsi" w:hAnsiTheme="minorHAnsi" w:cstheme="minorHAnsi"/>
              </w:rPr>
            </w:pPr>
          </w:p>
        </w:tc>
        <w:tc>
          <w:tcPr>
            <w:tcW w:w="1276" w:type="dxa"/>
          </w:tcPr>
          <w:p w:rsidR="004814D9" w:rsidRPr="0062173B" w:rsidRDefault="004814D9" w:rsidP="00B66982">
            <w:pPr>
              <w:pStyle w:val="NoSpacing"/>
              <w:jc w:val="both"/>
              <w:rPr>
                <w:rFonts w:asciiTheme="minorHAnsi" w:hAnsiTheme="minorHAnsi" w:cstheme="minorHAnsi"/>
              </w:rPr>
            </w:pPr>
          </w:p>
        </w:tc>
        <w:tc>
          <w:tcPr>
            <w:tcW w:w="708" w:type="dxa"/>
          </w:tcPr>
          <w:p w:rsidR="004814D9" w:rsidRPr="0062173B" w:rsidRDefault="004814D9" w:rsidP="00B66982">
            <w:pPr>
              <w:pStyle w:val="NoSpacing"/>
              <w:jc w:val="both"/>
              <w:rPr>
                <w:rFonts w:asciiTheme="minorHAnsi" w:hAnsiTheme="minorHAnsi" w:cstheme="minorHAnsi"/>
              </w:rPr>
            </w:pPr>
          </w:p>
        </w:tc>
        <w:tc>
          <w:tcPr>
            <w:tcW w:w="7655" w:type="dxa"/>
          </w:tcPr>
          <w:p w:rsidR="004814D9" w:rsidRPr="0062173B" w:rsidRDefault="004814D9" w:rsidP="00BA39EB">
            <w:pPr>
              <w:pStyle w:val="NoSpacing"/>
              <w:ind w:left="27" w:hanging="27"/>
              <w:jc w:val="both"/>
              <w:rPr>
                <w:rFonts w:asciiTheme="minorHAnsi" w:hAnsiTheme="minorHAnsi" w:cs="Courier New"/>
                <w:color w:val="000000"/>
              </w:rPr>
            </w:pPr>
          </w:p>
        </w:tc>
      </w:tr>
      <w:tr w:rsidR="004814D9" w:rsidRPr="0062173B" w:rsidTr="002D2034">
        <w:tc>
          <w:tcPr>
            <w:tcW w:w="959" w:type="dxa"/>
          </w:tcPr>
          <w:p w:rsidR="004814D9" w:rsidRPr="0062173B" w:rsidRDefault="004814D9" w:rsidP="00B66982">
            <w:pPr>
              <w:pStyle w:val="NoSpacing"/>
              <w:jc w:val="both"/>
              <w:rPr>
                <w:rFonts w:asciiTheme="minorHAnsi" w:hAnsiTheme="minorHAnsi" w:cstheme="minorHAnsi"/>
              </w:rPr>
            </w:pPr>
            <w:r w:rsidRPr="0062173B">
              <w:rPr>
                <w:rFonts w:asciiTheme="minorHAnsi" w:hAnsiTheme="minorHAnsi" w:cstheme="minorHAnsi"/>
              </w:rPr>
              <w:t>14.84</w:t>
            </w:r>
          </w:p>
        </w:tc>
        <w:tc>
          <w:tcPr>
            <w:tcW w:w="1276" w:type="dxa"/>
          </w:tcPr>
          <w:p w:rsidR="004814D9" w:rsidRPr="0062173B" w:rsidRDefault="004814D9" w:rsidP="00B66982">
            <w:pPr>
              <w:pStyle w:val="NoSpacing"/>
              <w:jc w:val="both"/>
              <w:rPr>
                <w:rFonts w:asciiTheme="minorHAnsi" w:hAnsiTheme="minorHAnsi" w:cstheme="minorHAnsi"/>
              </w:rPr>
            </w:pPr>
            <w:r w:rsidRPr="0062173B">
              <w:rPr>
                <w:rFonts w:asciiTheme="minorHAnsi" w:hAnsiTheme="minorHAnsi" w:cstheme="minorHAnsi"/>
              </w:rPr>
              <w:t>Agreed</w:t>
            </w:r>
          </w:p>
        </w:tc>
        <w:tc>
          <w:tcPr>
            <w:tcW w:w="708" w:type="dxa"/>
          </w:tcPr>
          <w:p w:rsidR="004814D9" w:rsidRPr="0062173B" w:rsidRDefault="004814D9" w:rsidP="00B66982">
            <w:pPr>
              <w:pStyle w:val="NoSpacing"/>
              <w:jc w:val="both"/>
              <w:rPr>
                <w:rFonts w:asciiTheme="minorHAnsi" w:hAnsiTheme="minorHAnsi" w:cstheme="minorHAnsi"/>
              </w:rPr>
            </w:pPr>
          </w:p>
        </w:tc>
        <w:tc>
          <w:tcPr>
            <w:tcW w:w="7655" w:type="dxa"/>
          </w:tcPr>
          <w:p w:rsidR="004814D9" w:rsidRPr="0062173B" w:rsidRDefault="004814D9" w:rsidP="00BA39EB">
            <w:pPr>
              <w:pStyle w:val="NoSpacing"/>
              <w:ind w:left="27" w:hanging="27"/>
              <w:jc w:val="both"/>
              <w:rPr>
                <w:rFonts w:asciiTheme="minorHAnsi" w:hAnsiTheme="minorHAnsi" w:cs="Courier New"/>
                <w:color w:val="000000"/>
              </w:rPr>
            </w:pPr>
            <w:r w:rsidRPr="0062173B">
              <w:rPr>
                <w:rFonts w:asciiTheme="minorHAnsi" w:hAnsiTheme="minorHAnsi" w:cs="Courier New"/>
                <w:color w:val="000000"/>
              </w:rPr>
              <w:t>To approve the 2020 strategic indicators.</w:t>
            </w:r>
          </w:p>
        </w:tc>
      </w:tr>
    </w:tbl>
    <w:p w:rsidR="004814D9" w:rsidRPr="0062173B" w:rsidRDefault="004814D9" w:rsidP="00754C04">
      <w:pPr>
        <w:pStyle w:val="NoSpacing"/>
        <w:jc w:val="both"/>
        <w:rPr>
          <w:rFonts w:asciiTheme="minorHAnsi" w:hAnsiTheme="minorHAnsi" w:cstheme="minorHAnsi"/>
          <w:b/>
        </w:rPr>
      </w:pPr>
    </w:p>
    <w:p w:rsidR="00141E24" w:rsidRPr="0062173B" w:rsidRDefault="00C60CEB" w:rsidP="00754C04">
      <w:pPr>
        <w:pStyle w:val="NoSpacing"/>
        <w:jc w:val="both"/>
        <w:rPr>
          <w:rFonts w:asciiTheme="minorHAnsi" w:hAnsiTheme="minorHAnsi" w:cstheme="minorHAnsi"/>
          <w:b/>
        </w:rPr>
      </w:pPr>
      <w:r w:rsidRPr="0062173B">
        <w:rPr>
          <w:rFonts w:asciiTheme="minorHAnsi" w:hAnsiTheme="minorHAnsi" w:cstheme="minorHAnsi"/>
          <w:b/>
        </w:rPr>
        <w:t>Progress Report on Strategy for Learning</w:t>
      </w:r>
    </w:p>
    <w:p w:rsidR="00C60CEB" w:rsidRPr="0062173B" w:rsidRDefault="00C60CEB" w:rsidP="00754C04">
      <w:pPr>
        <w:pStyle w:val="NoSpacing"/>
        <w:jc w:val="both"/>
        <w:rPr>
          <w:rFonts w:asciiTheme="minorHAnsi" w:hAnsiTheme="minorHAnsi" w:cstheme="minorHAnsi"/>
          <w:b/>
        </w:rPr>
      </w:pPr>
    </w:p>
    <w:tbl>
      <w:tblPr>
        <w:tblW w:w="0" w:type="auto"/>
        <w:tblLayout w:type="fixed"/>
        <w:tblLook w:val="04A0" w:firstRow="1" w:lastRow="0" w:firstColumn="1" w:lastColumn="0" w:noHBand="0" w:noVBand="1"/>
      </w:tblPr>
      <w:tblGrid>
        <w:gridCol w:w="959"/>
        <w:gridCol w:w="1276"/>
        <w:gridCol w:w="708"/>
        <w:gridCol w:w="7655"/>
      </w:tblGrid>
      <w:tr w:rsidR="00C60CEB" w:rsidRPr="0062173B" w:rsidTr="002D2034">
        <w:tc>
          <w:tcPr>
            <w:tcW w:w="959" w:type="dxa"/>
          </w:tcPr>
          <w:p w:rsidR="00C60CEB" w:rsidRPr="0062173B" w:rsidRDefault="00C60CEB" w:rsidP="004814D9">
            <w:pPr>
              <w:pStyle w:val="NoSpacing"/>
              <w:jc w:val="both"/>
              <w:rPr>
                <w:rFonts w:asciiTheme="minorHAnsi" w:hAnsiTheme="minorHAnsi" w:cstheme="minorHAnsi"/>
              </w:rPr>
            </w:pPr>
            <w:r w:rsidRPr="0062173B">
              <w:rPr>
                <w:rFonts w:asciiTheme="minorHAnsi" w:hAnsiTheme="minorHAnsi" w:cstheme="minorHAnsi"/>
              </w:rPr>
              <w:t>14.</w:t>
            </w:r>
            <w:r w:rsidR="004814D9" w:rsidRPr="0062173B">
              <w:rPr>
                <w:rFonts w:asciiTheme="minorHAnsi" w:hAnsiTheme="minorHAnsi" w:cstheme="minorHAnsi"/>
              </w:rPr>
              <w:t>85</w:t>
            </w:r>
          </w:p>
        </w:tc>
        <w:tc>
          <w:tcPr>
            <w:tcW w:w="1276" w:type="dxa"/>
          </w:tcPr>
          <w:p w:rsidR="00C60CEB" w:rsidRPr="0062173B" w:rsidRDefault="009E0CA9" w:rsidP="006B0F40">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C60CEB" w:rsidRPr="0062173B" w:rsidRDefault="00C60CEB" w:rsidP="006B0F40">
            <w:pPr>
              <w:pStyle w:val="NoSpacing"/>
              <w:jc w:val="both"/>
              <w:rPr>
                <w:rFonts w:asciiTheme="minorHAnsi" w:hAnsiTheme="minorHAnsi" w:cstheme="minorHAnsi"/>
              </w:rPr>
            </w:pPr>
          </w:p>
        </w:tc>
        <w:tc>
          <w:tcPr>
            <w:tcW w:w="7655" w:type="dxa"/>
          </w:tcPr>
          <w:p w:rsidR="00C60CEB" w:rsidRPr="0062173B" w:rsidRDefault="009E0CA9" w:rsidP="009E0CA9">
            <w:pPr>
              <w:pStyle w:val="NoSpacing"/>
              <w:jc w:val="both"/>
              <w:rPr>
                <w:rFonts w:asciiTheme="minorHAnsi" w:hAnsiTheme="minorHAnsi" w:cstheme="minorHAnsi"/>
              </w:rPr>
            </w:pPr>
            <w:r w:rsidRPr="0062173B">
              <w:rPr>
                <w:rFonts w:asciiTheme="minorHAnsi" w:hAnsiTheme="minorHAnsi" w:cstheme="minorHAnsi"/>
              </w:rPr>
              <w:t>Document UC14/40, a summary of progress in implementing the Strategy for Learning which was approved by Senate in June 2013.</w:t>
            </w:r>
          </w:p>
        </w:tc>
      </w:tr>
    </w:tbl>
    <w:p w:rsidR="00C60CEB" w:rsidRPr="0062173B" w:rsidRDefault="00C60CEB" w:rsidP="00754C04">
      <w:pPr>
        <w:pStyle w:val="NoSpacing"/>
        <w:jc w:val="both"/>
        <w:rPr>
          <w:rFonts w:asciiTheme="minorHAnsi" w:hAnsiTheme="minorHAnsi" w:cstheme="minorHAnsi"/>
          <w:b/>
        </w:rPr>
      </w:pPr>
    </w:p>
    <w:p w:rsidR="007676CF" w:rsidRPr="0062173B" w:rsidRDefault="007676CF" w:rsidP="00754C04">
      <w:pPr>
        <w:pStyle w:val="NoSpacing"/>
        <w:jc w:val="both"/>
        <w:rPr>
          <w:rFonts w:asciiTheme="minorHAnsi" w:hAnsiTheme="minorHAnsi" w:cstheme="minorHAnsi"/>
          <w:b/>
        </w:rPr>
      </w:pPr>
      <w:r w:rsidRPr="0062173B">
        <w:rPr>
          <w:rFonts w:asciiTheme="minorHAnsi" w:hAnsiTheme="minorHAnsi" w:cstheme="minorHAnsi"/>
          <w:b/>
        </w:rPr>
        <w:t>Date of next meeting</w:t>
      </w:r>
    </w:p>
    <w:p w:rsidR="007676CF" w:rsidRPr="0062173B" w:rsidRDefault="007676CF" w:rsidP="00754C04">
      <w:pPr>
        <w:pStyle w:val="NoSpacing"/>
        <w:jc w:val="both"/>
        <w:rPr>
          <w:rFonts w:asciiTheme="minorHAnsi" w:hAnsiTheme="minorHAnsi" w:cstheme="minorHAnsi"/>
          <w:b/>
        </w:rPr>
      </w:pPr>
    </w:p>
    <w:tbl>
      <w:tblPr>
        <w:tblW w:w="0" w:type="auto"/>
        <w:tblLayout w:type="fixed"/>
        <w:tblLook w:val="0000" w:firstRow="0" w:lastRow="0" w:firstColumn="0" w:lastColumn="0" w:noHBand="0" w:noVBand="0"/>
      </w:tblPr>
      <w:tblGrid>
        <w:gridCol w:w="1101"/>
        <w:gridCol w:w="1134"/>
        <w:gridCol w:w="708"/>
        <w:gridCol w:w="7655"/>
      </w:tblGrid>
      <w:tr w:rsidR="007676CF" w:rsidRPr="0062173B" w:rsidTr="002D2034">
        <w:tc>
          <w:tcPr>
            <w:tcW w:w="1101" w:type="dxa"/>
          </w:tcPr>
          <w:p w:rsidR="007676CF" w:rsidRPr="0062173B" w:rsidRDefault="00137FA4" w:rsidP="00175469">
            <w:pPr>
              <w:pStyle w:val="NoSpacing"/>
              <w:jc w:val="both"/>
              <w:rPr>
                <w:rFonts w:asciiTheme="minorHAnsi" w:hAnsiTheme="minorHAnsi" w:cstheme="minorHAnsi"/>
              </w:rPr>
            </w:pPr>
            <w:r w:rsidRPr="0062173B">
              <w:rPr>
                <w:rFonts w:asciiTheme="minorHAnsi" w:hAnsiTheme="minorHAnsi" w:cstheme="minorHAnsi"/>
              </w:rPr>
              <w:t>1</w:t>
            </w:r>
            <w:r w:rsidR="00175469" w:rsidRPr="0062173B">
              <w:rPr>
                <w:rFonts w:asciiTheme="minorHAnsi" w:hAnsiTheme="minorHAnsi" w:cstheme="minorHAnsi"/>
              </w:rPr>
              <w:t>4</w:t>
            </w:r>
            <w:r w:rsidRPr="0062173B">
              <w:rPr>
                <w:rFonts w:asciiTheme="minorHAnsi" w:hAnsiTheme="minorHAnsi" w:cstheme="minorHAnsi"/>
              </w:rPr>
              <w:t>.</w:t>
            </w:r>
            <w:r w:rsidR="009E0CA9" w:rsidRPr="0062173B">
              <w:rPr>
                <w:rFonts w:asciiTheme="minorHAnsi" w:hAnsiTheme="minorHAnsi" w:cstheme="minorHAnsi"/>
              </w:rPr>
              <w:t>86</w:t>
            </w:r>
          </w:p>
        </w:tc>
        <w:tc>
          <w:tcPr>
            <w:tcW w:w="1134" w:type="dxa"/>
          </w:tcPr>
          <w:p w:rsidR="007676CF" w:rsidRPr="0062173B" w:rsidRDefault="007676CF" w:rsidP="00754C04">
            <w:pPr>
              <w:pStyle w:val="NoSpacing"/>
              <w:jc w:val="both"/>
              <w:rPr>
                <w:rFonts w:asciiTheme="minorHAnsi" w:hAnsiTheme="minorHAnsi" w:cstheme="minorHAnsi"/>
              </w:rPr>
            </w:pPr>
            <w:r w:rsidRPr="0062173B">
              <w:rPr>
                <w:rFonts w:asciiTheme="minorHAnsi" w:hAnsiTheme="minorHAnsi" w:cstheme="minorHAnsi"/>
              </w:rPr>
              <w:t>Noted</w:t>
            </w:r>
          </w:p>
        </w:tc>
        <w:tc>
          <w:tcPr>
            <w:tcW w:w="708" w:type="dxa"/>
          </w:tcPr>
          <w:p w:rsidR="007676CF" w:rsidRPr="0062173B" w:rsidRDefault="007676CF" w:rsidP="00754C04">
            <w:pPr>
              <w:pStyle w:val="NoSpacing"/>
              <w:jc w:val="both"/>
              <w:rPr>
                <w:rFonts w:asciiTheme="minorHAnsi" w:hAnsiTheme="minorHAnsi" w:cstheme="minorHAnsi"/>
              </w:rPr>
            </w:pPr>
          </w:p>
        </w:tc>
        <w:tc>
          <w:tcPr>
            <w:tcW w:w="7655" w:type="dxa"/>
          </w:tcPr>
          <w:p w:rsidR="007676CF" w:rsidRPr="0062173B" w:rsidRDefault="007676CF" w:rsidP="00144CDB">
            <w:pPr>
              <w:pStyle w:val="NoSpacing"/>
              <w:jc w:val="both"/>
              <w:rPr>
                <w:rFonts w:asciiTheme="minorHAnsi" w:hAnsiTheme="minorHAnsi" w:cstheme="minorHAnsi"/>
              </w:rPr>
            </w:pPr>
            <w:r w:rsidRPr="0062173B">
              <w:rPr>
                <w:rFonts w:asciiTheme="minorHAnsi" w:hAnsiTheme="minorHAnsi" w:cstheme="minorHAnsi"/>
              </w:rPr>
              <w:t>The next meeting of Co</w:t>
            </w:r>
            <w:r w:rsidR="00A91BD3" w:rsidRPr="0062173B">
              <w:rPr>
                <w:rFonts w:asciiTheme="minorHAnsi" w:hAnsiTheme="minorHAnsi" w:cstheme="minorHAnsi"/>
              </w:rPr>
              <w:t>urt would be held on Thursday</w:t>
            </w:r>
            <w:r w:rsidR="00C52633" w:rsidRPr="0062173B">
              <w:rPr>
                <w:rFonts w:asciiTheme="minorHAnsi" w:hAnsiTheme="minorHAnsi" w:cstheme="minorHAnsi"/>
              </w:rPr>
              <w:t xml:space="preserve"> </w:t>
            </w:r>
            <w:r w:rsidR="00144CDB" w:rsidRPr="0062173B">
              <w:rPr>
                <w:rFonts w:asciiTheme="minorHAnsi" w:hAnsiTheme="minorHAnsi" w:cstheme="minorHAnsi"/>
              </w:rPr>
              <w:t>29</w:t>
            </w:r>
            <w:r w:rsidR="00C52633" w:rsidRPr="0062173B">
              <w:rPr>
                <w:rFonts w:asciiTheme="minorHAnsi" w:hAnsiTheme="minorHAnsi" w:cstheme="minorHAnsi"/>
                <w:vertAlign w:val="superscript"/>
              </w:rPr>
              <w:t>th</w:t>
            </w:r>
            <w:r w:rsidR="00C52633" w:rsidRPr="0062173B">
              <w:rPr>
                <w:rFonts w:asciiTheme="minorHAnsi" w:hAnsiTheme="minorHAnsi" w:cstheme="minorHAnsi"/>
              </w:rPr>
              <w:t xml:space="preserve"> January 201</w:t>
            </w:r>
            <w:r w:rsidR="00144CDB" w:rsidRPr="0062173B">
              <w:rPr>
                <w:rFonts w:asciiTheme="minorHAnsi" w:hAnsiTheme="minorHAnsi" w:cstheme="minorHAnsi"/>
              </w:rPr>
              <w:t>5</w:t>
            </w:r>
            <w:r w:rsidR="00C52633" w:rsidRPr="0062173B">
              <w:rPr>
                <w:rFonts w:asciiTheme="minorHAnsi" w:hAnsiTheme="minorHAnsi" w:cstheme="minorHAnsi"/>
              </w:rPr>
              <w:t xml:space="preserve"> at 4.30pm</w:t>
            </w:r>
            <w:r w:rsidR="00A91BD3" w:rsidRPr="0062173B">
              <w:rPr>
                <w:rFonts w:asciiTheme="minorHAnsi" w:hAnsiTheme="minorHAnsi" w:cstheme="minorHAnsi"/>
              </w:rPr>
              <w:t>.</w:t>
            </w:r>
          </w:p>
        </w:tc>
      </w:tr>
    </w:tbl>
    <w:p w:rsidR="00CE2A58" w:rsidRPr="0062173B" w:rsidRDefault="00CE2A58" w:rsidP="00754C04">
      <w:pPr>
        <w:pStyle w:val="NoSpacing"/>
        <w:jc w:val="both"/>
        <w:rPr>
          <w:rFonts w:asciiTheme="minorHAnsi" w:hAnsiTheme="minorHAnsi" w:cstheme="minorHAnsi"/>
          <w:b/>
        </w:rPr>
      </w:pPr>
    </w:p>
    <w:sectPr w:rsidR="00CE2A58" w:rsidRPr="0062173B" w:rsidSect="001A6185">
      <w:footerReference w:type="even" r:id="rId9"/>
      <w:footerReference w:type="default" r:id="rId10"/>
      <w:pgSz w:w="12240" w:h="15840"/>
      <w:pgMar w:top="720" w:right="720" w:bottom="720" w:left="1080" w:header="720" w:footer="3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034" w:rsidRDefault="002D2034">
      <w:r>
        <w:separator/>
      </w:r>
    </w:p>
  </w:endnote>
  <w:endnote w:type="continuationSeparator" w:id="0">
    <w:p w:rsidR="002D2034" w:rsidRDefault="002D2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34" w:rsidRDefault="002D2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2D2034" w:rsidRDefault="002D20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1349869"/>
      <w:docPartObj>
        <w:docPartGallery w:val="Page Numbers (Bottom of Page)"/>
        <w:docPartUnique/>
      </w:docPartObj>
    </w:sdtPr>
    <w:sdtEndPr>
      <w:rPr>
        <w:noProof/>
      </w:rPr>
    </w:sdtEndPr>
    <w:sdtContent>
      <w:p w:rsidR="002D2034" w:rsidRDefault="002D2034">
        <w:pPr>
          <w:pStyle w:val="Footer"/>
          <w:jc w:val="right"/>
        </w:pPr>
        <w:r w:rsidRPr="002D2034">
          <w:rPr>
            <w:rFonts w:asciiTheme="minorHAnsi" w:hAnsiTheme="minorHAnsi"/>
            <w:w w:val="90"/>
          </w:rPr>
          <w:fldChar w:fldCharType="begin"/>
        </w:r>
        <w:r w:rsidRPr="002D2034">
          <w:rPr>
            <w:rFonts w:asciiTheme="minorHAnsi" w:hAnsiTheme="minorHAnsi"/>
            <w:w w:val="90"/>
          </w:rPr>
          <w:instrText xml:space="preserve"> PAGE   \* MERGEFORMAT </w:instrText>
        </w:r>
        <w:r w:rsidRPr="002D2034">
          <w:rPr>
            <w:rFonts w:asciiTheme="minorHAnsi" w:hAnsiTheme="minorHAnsi"/>
            <w:w w:val="90"/>
          </w:rPr>
          <w:fldChar w:fldCharType="separate"/>
        </w:r>
        <w:r w:rsidR="00A74635">
          <w:rPr>
            <w:rFonts w:asciiTheme="minorHAnsi" w:hAnsiTheme="minorHAnsi"/>
            <w:noProof/>
            <w:w w:val="90"/>
          </w:rPr>
          <w:t>1</w:t>
        </w:r>
        <w:r w:rsidRPr="002D2034">
          <w:rPr>
            <w:rFonts w:asciiTheme="minorHAnsi" w:hAnsiTheme="minorHAnsi"/>
            <w:noProof/>
            <w:w w:val="90"/>
          </w:rPr>
          <w:fldChar w:fldCharType="end"/>
        </w:r>
      </w:p>
    </w:sdtContent>
  </w:sdt>
  <w:p w:rsidR="002D2034" w:rsidRDefault="002D20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034" w:rsidRDefault="002D2034">
      <w:r>
        <w:separator/>
      </w:r>
    </w:p>
  </w:footnote>
  <w:footnote w:type="continuationSeparator" w:id="0">
    <w:p w:rsidR="002D2034" w:rsidRDefault="002D2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2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671AD5"/>
    <w:multiLevelType w:val="hybridMultilevel"/>
    <w:tmpl w:val="14BC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46C36"/>
    <w:multiLevelType w:val="singleLevel"/>
    <w:tmpl w:val="08090001"/>
    <w:lvl w:ilvl="0">
      <w:start w:val="1"/>
      <w:numFmt w:val="bullet"/>
      <w:lvlText w:val=""/>
      <w:lvlJc w:val="left"/>
      <w:pPr>
        <w:ind w:left="720" w:hanging="360"/>
      </w:pPr>
      <w:rPr>
        <w:rFonts w:ascii="Symbol" w:hAnsi="Symbol" w:hint="default"/>
      </w:rPr>
    </w:lvl>
  </w:abstractNum>
  <w:abstractNum w:abstractNumId="3">
    <w:nsid w:val="0C9C66CD"/>
    <w:multiLevelType w:val="singleLevel"/>
    <w:tmpl w:val="08090019"/>
    <w:lvl w:ilvl="0">
      <w:start w:val="1"/>
      <w:numFmt w:val="lowerLetter"/>
      <w:lvlText w:val="%1."/>
      <w:lvlJc w:val="left"/>
      <w:pPr>
        <w:ind w:left="720" w:hanging="360"/>
      </w:pPr>
    </w:lvl>
  </w:abstractNum>
  <w:abstractNum w:abstractNumId="4">
    <w:nsid w:val="0DE11D84"/>
    <w:multiLevelType w:val="hybridMultilevel"/>
    <w:tmpl w:val="25406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034939"/>
    <w:multiLevelType w:val="hybridMultilevel"/>
    <w:tmpl w:val="A378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2729B4"/>
    <w:multiLevelType w:val="hybridMultilevel"/>
    <w:tmpl w:val="4334AB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BA68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C25704B"/>
    <w:multiLevelType w:val="hybridMultilevel"/>
    <w:tmpl w:val="9586AF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C256E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22D0377E"/>
    <w:multiLevelType w:val="hybridMultilevel"/>
    <w:tmpl w:val="3346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F42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C155A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2C23705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nsid w:val="2DC80E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3492B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34AF6A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35664BB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5BD4BA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39650F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3B9B6E27"/>
    <w:multiLevelType w:val="hybridMultilevel"/>
    <w:tmpl w:val="8B4AFE62"/>
    <w:lvl w:ilvl="0" w:tplc="C4B27732">
      <w:start w:val="1"/>
      <w:numFmt w:val="bullet"/>
      <w:lvlText w:val=""/>
      <w:lvlJc w:val="left"/>
      <w:pPr>
        <w:ind w:left="720" w:hanging="360"/>
      </w:pPr>
      <w:rPr>
        <w:rFonts w:ascii="Symbol" w:hAnsi="Symbol" w:hint="default"/>
      </w:rPr>
    </w:lvl>
    <w:lvl w:ilvl="1" w:tplc="3F04FE02" w:tentative="1">
      <w:start w:val="1"/>
      <w:numFmt w:val="bullet"/>
      <w:lvlText w:val="o"/>
      <w:lvlJc w:val="left"/>
      <w:pPr>
        <w:ind w:left="1440" w:hanging="360"/>
      </w:pPr>
      <w:rPr>
        <w:rFonts w:ascii="Courier New" w:hAnsi="Courier New" w:cs="Wingdings" w:hint="default"/>
      </w:rPr>
    </w:lvl>
    <w:lvl w:ilvl="2" w:tplc="254AF724" w:tentative="1">
      <w:start w:val="1"/>
      <w:numFmt w:val="bullet"/>
      <w:lvlText w:val=""/>
      <w:lvlJc w:val="left"/>
      <w:pPr>
        <w:ind w:left="2160" w:hanging="360"/>
      </w:pPr>
      <w:rPr>
        <w:rFonts w:ascii="Wingdings" w:hAnsi="Wingdings" w:hint="default"/>
      </w:rPr>
    </w:lvl>
    <w:lvl w:ilvl="3" w:tplc="B0260E28" w:tentative="1">
      <w:start w:val="1"/>
      <w:numFmt w:val="bullet"/>
      <w:lvlText w:val=""/>
      <w:lvlJc w:val="left"/>
      <w:pPr>
        <w:ind w:left="2880" w:hanging="360"/>
      </w:pPr>
      <w:rPr>
        <w:rFonts w:ascii="Symbol" w:hAnsi="Symbol" w:hint="default"/>
      </w:rPr>
    </w:lvl>
    <w:lvl w:ilvl="4" w:tplc="93F8F92E" w:tentative="1">
      <w:start w:val="1"/>
      <w:numFmt w:val="bullet"/>
      <w:lvlText w:val="o"/>
      <w:lvlJc w:val="left"/>
      <w:pPr>
        <w:ind w:left="3600" w:hanging="360"/>
      </w:pPr>
      <w:rPr>
        <w:rFonts w:ascii="Courier New" w:hAnsi="Courier New" w:cs="Wingdings" w:hint="default"/>
      </w:rPr>
    </w:lvl>
    <w:lvl w:ilvl="5" w:tplc="EB827A5A" w:tentative="1">
      <w:start w:val="1"/>
      <w:numFmt w:val="bullet"/>
      <w:lvlText w:val=""/>
      <w:lvlJc w:val="left"/>
      <w:pPr>
        <w:ind w:left="4320" w:hanging="360"/>
      </w:pPr>
      <w:rPr>
        <w:rFonts w:ascii="Wingdings" w:hAnsi="Wingdings" w:hint="default"/>
      </w:rPr>
    </w:lvl>
    <w:lvl w:ilvl="6" w:tplc="3280BCD2" w:tentative="1">
      <w:start w:val="1"/>
      <w:numFmt w:val="bullet"/>
      <w:lvlText w:val=""/>
      <w:lvlJc w:val="left"/>
      <w:pPr>
        <w:ind w:left="5040" w:hanging="360"/>
      </w:pPr>
      <w:rPr>
        <w:rFonts w:ascii="Symbol" w:hAnsi="Symbol" w:hint="default"/>
      </w:rPr>
    </w:lvl>
    <w:lvl w:ilvl="7" w:tplc="6D80303E" w:tentative="1">
      <w:start w:val="1"/>
      <w:numFmt w:val="bullet"/>
      <w:lvlText w:val="o"/>
      <w:lvlJc w:val="left"/>
      <w:pPr>
        <w:ind w:left="5760" w:hanging="360"/>
      </w:pPr>
      <w:rPr>
        <w:rFonts w:ascii="Courier New" w:hAnsi="Courier New" w:cs="Wingdings" w:hint="default"/>
      </w:rPr>
    </w:lvl>
    <w:lvl w:ilvl="8" w:tplc="0FFA3D24" w:tentative="1">
      <w:start w:val="1"/>
      <w:numFmt w:val="bullet"/>
      <w:lvlText w:val=""/>
      <w:lvlJc w:val="left"/>
      <w:pPr>
        <w:ind w:left="6480" w:hanging="360"/>
      </w:pPr>
      <w:rPr>
        <w:rFonts w:ascii="Wingdings" w:hAnsi="Wingdings" w:hint="default"/>
      </w:rPr>
    </w:lvl>
  </w:abstractNum>
  <w:abstractNum w:abstractNumId="21">
    <w:nsid w:val="3CE55BDF"/>
    <w:multiLevelType w:val="hybridMultilevel"/>
    <w:tmpl w:val="9F18D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0AC3956"/>
    <w:multiLevelType w:val="hybridMultilevel"/>
    <w:tmpl w:val="9D6000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1C67ABD"/>
    <w:multiLevelType w:val="hybridMultilevel"/>
    <w:tmpl w:val="340C1BFC"/>
    <w:lvl w:ilvl="0" w:tplc="40E045F8">
      <w:start w:val="1"/>
      <w:numFmt w:val="bullet"/>
      <w:lvlText w:val=""/>
      <w:lvlJc w:val="left"/>
      <w:pPr>
        <w:ind w:left="720" w:hanging="360"/>
      </w:pPr>
      <w:rPr>
        <w:rFonts w:ascii="Symbol" w:hAnsi="Symbol" w:hint="default"/>
      </w:rPr>
    </w:lvl>
    <w:lvl w:ilvl="1" w:tplc="B4D03738" w:tentative="1">
      <w:start w:val="1"/>
      <w:numFmt w:val="bullet"/>
      <w:lvlText w:val="o"/>
      <w:lvlJc w:val="left"/>
      <w:pPr>
        <w:ind w:left="1440" w:hanging="360"/>
      </w:pPr>
      <w:rPr>
        <w:rFonts w:ascii="Courier New" w:hAnsi="Courier New" w:cs="Wingdings" w:hint="default"/>
      </w:rPr>
    </w:lvl>
    <w:lvl w:ilvl="2" w:tplc="ADE8276E" w:tentative="1">
      <w:start w:val="1"/>
      <w:numFmt w:val="bullet"/>
      <w:lvlText w:val=""/>
      <w:lvlJc w:val="left"/>
      <w:pPr>
        <w:ind w:left="2160" w:hanging="360"/>
      </w:pPr>
      <w:rPr>
        <w:rFonts w:ascii="Wingdings" w:hAnsi="Wingdings" w:hint="default"/>
      </w:rPr>
    </w:lvl>
    <w:lvl w:ilvl="3" w:tplc="33D0113A" w:tentative="1">
      <w:start w:val="1"/>
      <w:numFmt w:val="bullet"/>
      <w:lvlText w:val=""/>
      <w:lvlJc w:val="left"/>
      <w:pPr>
        <w:ind w:left="2880" w:hanging="360"/>
      </w:pPr>
      <w:rPr>
        <w:rFonts w:ascii="Symbol" w:hAnsi="Symbol" w:hint="default"/>
      </w:rPr>
    </w:lvl>
    <w:lvl w:ilvl="4" w:tplc="3A68F1D4" w:tentative="1">
      <w:start w:val="1"/>
      <w:numFmt w:val="bullet"/>
      <w:lvlText w:val="o"/>
      <w:lvlJc w:val="left"/>
      <w:pPr>
        <w:ind w:left="3600" w:hanging="360"/>
      </w:pPr>
      <w:rPr>
        <w:rFonts w:ascii="Courier New" w:hAnsi="Courier New" w:cs="Wingdings" w:hint="default"/>
      </w:rPr>
    </w:lvl>
    <w:lvl w:ilvl="5" w:tplc="DFCC5540" w:tentative="1">
      <w:start w:val="1"/>
      <w:numFmt w:val="bullet"/>
      <w:lvlText w:val=""/>
      <w:lvlJc w:val="left"/>
      <w:pPr>
        <w:ind w:left="4320" w:hanging="360"/>
      </w:pPr>
      <w:rPr>
        <w:rFonts w:ascii="Wingdings" w:hAnsi="Wingdings" w:hint="default"/>
      </w:rPr>
    </w:lvl>
    <w:lvl w:ilvl="6" w:tplc="CDFCE8CE" w:tentative="1">
      <w:start w:val="1"/>
      <w:numFmt w:val="bullet"/>
      <w:lvlText w:val=""/>
      <w:lvlJc w:val="left"/>
      <w:pPr>
        <w:ind w:left="5040" w:hanging="360"/>
      </w:pPr>
      <w:rPr>
        <w:rFonts w:ascii="Symbol" w:hAnsi="Symbol" w:hint="default"/>
      </w:rPr>
    </w:lvl>
    <w:lvl w:ilvl="7" w:tplc="B524ACC4" w:tentative="1">
      <w:start w:val="1"/>
      <w:numFmt w:val="bullet"/>
      <w:lvlText w:val="o"/>
      <w:lvlJc w:val="left"/>
      <w:pPr>
        <w:ind w:left="5760" w:hanging="360"/>
      </w:pPr>
      <w:rPr>
        <w:rFonts w:ascii="Courier New" w:hAnsi="Courier New" w:cs="Wingdings" w:hint="default"/>
      </w:rPr>
    </w:lvl>
    <w:lvl w:ilvl="8" w:tplc="4FB07498" w:tentative="1">
      <w:start w:val="1"/>
      <w:numFmt w:val="bullet"/>
      <w:lvlText w:val=""/>
      <w:lvlJc w:val="left"/>
      <w:pPr>
        <w:ind w:left="6480" w:hanging="360"/>
      </w:pPr>
      <w:rPr>
        <w:rFonts w:ascii="Wingdings" w:hAnsi="Wingdings" w:hint="default"/>
      </w:rPr>
    </w:lvl>
  </w:abstractNum>
  <w:abstractNum w:abstractNumId="24">
    <w:nsid w:val="42AE3FC1"/>
    <w:multiLevelType w:val="hybridMultilevel"/>
    <w:tmpl w:val="1FE01F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FB81B83"/>
    <w:multiLevelType w:val="hybridMultilevel"/>
    <w:tmpl w:val="98F44F9E"/>
    <w:lvl w:ilvl="0" w:tplc="0E16DED8">
      <w:start w:val="1"/>
      <w:numFmt w:val="lowerLetter"/>
      <w:lvlText w:val="%1)"/>
      <w:lvlJc w:val="left"/>
      <w:pPr>
        <w:ind w:left="1080" w:hanging="360"/>
      </w:pPr>
    </w:lvl>
    <w:lvl w:ilvl="1" w:tplc="9EE65FC8" w:tentative="1">
      <w:start w:val="1"/>
      <w:numFmt w:val="lowerLetter"/>
      <w:lvlText w:val="%2."/>
      <w:lvlJc w:val="left"/>
      <w:pPr>
        <w:ind w:left="1800" w:hanging="360"/>
      </w:pPr>
    </w:lvl>
    <w:lvl w:ilvl="2" w:tplc="DB725378" w:tentative="1">
      <w:start w:val="1"/>
      <w:numFmt w:val="lowerRoman"/>
      <w:lvlText w:val="%3."/>
      <w:lvlJc w:val="right"/>
      <w:pPr>
        <w:ind w:left="2520" w:hanging="180"/>
      </w:pPr>
    </w:lvl>
    <w:lvl w:ilvl="3" w:tplc="872C48F2" w:tentative="1">
      <w:start w:val="1"/>
      <w:numFmt w:val="decimal"/>
      <w:lvlText w:val="%4."/>
      <w:lvlJc w:val="left"/>
      <w:pPr>
        <w:ind w:left="3240" w:hanging="360"/>
      </w:pPr>
    </w:lvl>
    <w:lvl w:ilvl="4" w:tplc="C0BA2214" w:tentative="1">
      <w:start w:val="1"/>
      <w:numFmt w:val="lowerLetter"/>
      <w:lvlText w:val="%5."/>
      <w:lvlJc w:val="left"/>
      <w:pPr>
        <w:ind w:left="3960" w:hanging="360"/>
      </w:pPr>
    </w:lvl>
    <w:lvl w:ilvl="5" w:tplc="DC926454" w:tentative="1">
      <w:start w:val="1"/>
      <w:numFmt w:val="lowerRoman"/>
      <w:lvlText w:val="%6."/>
      <w:lvlJc w:val="right"/>
      <w:pPr>
        <w:ind w:left="4680" w:hanging="180"/>
      </w:pPr>
    </w:lvl>
    <w:lvl w:ilvl="6" w:tplc="64F46CBC" w:tentative="1">
      <w:start w:val="1"/>
      <w:numFmt w:val="decimal"/>
      <w:lvlText w:val="%7."/>
      <w:lvlJc w:val="left"/>
      <w:pPr>
        <w:ind w:left="5400" w:hanging="360"/>
      </w:pPr>
    </w:lvl>
    <w:lvl w:ilvl="7" w:tplc="EA22D3E2" w:tentative="1">
      <w:start w:val="1"/>
      <w:numFmt w:val="lowerLetter"/>
      <w:lvlText w:val="%8."/>
      <w:lvlJc w:val="left"/>
      <w:pPr>
        <w:ind w:left="6120" w:hanging="360"/>
      </w:pPr>
    </w:lvl>
    <w:lvl w:ilvl="8" w:tplc="102EF6DA" w:tentative="1">
      <w:start w:val="1"/>
      <w:numFmt w:val="lowerRoman"/>
      <w:lvlText w:val="%9."/>
      <w:lvlJc w:val="right"/>
      <w:pPr>
        <w:ind w:left="6840" w:hanging="180"/>
      </w:pPr>
    </w:lvl>
  </w:abstractNum>
  <w:abstractNum w:abstractNumId="26">
    <w:nsid w:val="501A37C0"/>
    <w:multiLevelType w:val="hybridMultilevel"/>
    <w:tmpl w:val="AF2E0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B01F3F"/>
    <w:multiLevelType w:val="hybridMultilevel"/>
    <w:tmpl w:val="43FEE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41034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54FD28EB"/>
    <w:multiLevelType w:val="hybridMultilevel"/>
    <w:tmpl w:val="EAA4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52C3B63"/>
    <w:multiLevelType w:val="hybridMultilevel"/>
    <w:tmpl w:val="F5B6DB74"/>
    <w:lvl w:ilvl="0" w:tplc="11B24B38">
      <w:start w:val="1"/>
      <w:numFmt w:val="bullet"/>
      <w:lvlText w:val=""/>
      <w:lvlJc w:val="left"/>
      <w:pPr>
        <w:ind w:left="780" w:hanging="360"/>
      </w:pPr>
      <w:rPr>
        <w:rFonts w:ascii="Symbol" w:hAnsi="Symbol" w:hint="default"/>
      </w:rPr>
    </w:lvl>
    <w:lvl w:ilvl="1" w:tplc="FF40F1D8" w:tentative="1">
      <w:start w:val="1"/>
      <w:numFmt w:val="bullet"/>
      <w:lvlText w:val="o"/>
      <w:lvlJc w:val="left"/>
      <w:pPr>
        <w:ind w:left="1500" w:hanging="360"/>
      </w:pPr>
      <w:rPr>
        <w:rFonts w:ascii="Courier New" w:hAnsi="Courier New" w:cs="Wingdings" w:hint="default"/>
      </w:rPr>
    </w:lvl>
    <w:lvl w:ilvl="2" w:tplc="6D04B89C" w:tentative="1">
      <w:start w:val="1"/>
      <w:numFmt w:val="bullet"/>
      <w:lvlText w:val=""/>
      <w:lvlJc w:val="left"/>
      <w:pPr>
        <w:ind w:left="2220" w:hanging="360"/>
      </w:pPr>
      <w:rPr>
        <w:rFonts w:ascii="Wingdings" w:hAnsi="Wingdings" w:hint="default"/>
      </w:rPr>
    </w:lvl>
    <w:lvl w:ilvl="3" w:tplc="B1EE9372" w:tentative="1">
      <w:start w:val="1"/>
      <w:numFmt w:val="bullet"/>
      <w:lvlText w:val=""/>
      <w:lvlJc w:val="left"/>
      <w:pPr>
        <w:ind w:left="2940" w:hanging="360"/>
      </w:pPr>
      <w:rPr>
        <w:rFonts w:ascii="Symbol" w:hAnsi="Symbol" w:hint="default"/>
      </w:rPr>
    </w:lvl>
    <w:lvl w:ilvl="4" w:tplc="EF205E62" w:tentative="1">
      <w:start w:val="1"/>
      <w:numFmt w:val="bullet"/>
      <w:lvlText w:val="o"/>
      <w:lvlJc w:val="left"/>
      <w:pPr>
        <w:ind w:left="3660" w:hanging="360"/>
      </w:pPr>
      <w:rPr>
        <w:rFonts w:ascii="Courier New" w:hAnsi="Courier New" w:cs="Wingdings" w:hint="default"/>
      </w:rPr>
    </w:lvl>
    <w:lvl w:ilvl="5" w:tplc="61961EFA" w:tentative="1">
      <w:start w:val="1"/>
      <w:numFmt w:val="bullet"/>
      <w:lvlText w:val=""/>
      <w:lvlJc w:val="left"/>
      <w:pPr>
        <w:ind w:left="4380" w:hanging="360"/>
      </w:pPr>
      <w:rPr>
        <w:rFonts w:ascii="Wingdings" w:hAnsi="Wingdings" w:hint="default"/>
      </w:rPr>
    </w:lvl>
    <w:lvl w:ilvl="6" w:tplc="9D4E6194" w:tentative="1">
      <w:start w:val="1"/>
      <w:numFmt w:val="bullet"/>
      <w:lvlText w:val=""/>
      <w:lvlJc w:val="left"/>
      <w:pPr>
        <w:ind w:left="5100" w:hanging="360"/>
      </w:pPr>
      <w:rPr>
        <w:rFonts w:ascii="Symbol" w:hAnsi="Symbol" w:hint="default"/>
      </w:rPr>
    </w:lvl>
    <w:lvl w:ilvl="7" w:tplc="C3308570" w:tentative="1">
      <w:start w:val="1"/>
      <w:numFmt w:val="bullet"/>
      <w:lvlText w:val="o"/>
      <w:lvlJc w:val="left"/>
      <w:pPr>
        <w:ind w:left="5820" w:hanging="360"/>
      </w:pPr>
      <w:rPr>
        <w:rFonts w:ascii="Courier New" w:hAnsi="Courier New" w:cs="Wingdings" w:hint="default"/>
      </w:rPr>
    </w:lvl>
    <w:lvl w:ilvl="8" w:tplc="8710D3F0" w:tentative="1">
      <w:start w:val="1"/>
      <w:numFmt w:val="bullet"/>
      <w:lvlText w:val=""/>
      <w:lvlJc w:val="left"/>
      <w:pPr>
        <w:ind w:left="6540" w:hanging="360"/>
      </w:pPr>
      <w:rPr>
        <w:rFonts w:ascii="Wingdings" w:hAnsi="Wingdings" w:hint="default"/>
      </w:rPr>
    </w:lvl>
  </w:abstractNum>
  <w:abstractNum w:abstractNumId="31">
    <w:nsid w:val="55F84458"/>
    <w:multiLevelType w:val="hybridMultilevel"/>
    <w:tmpl w:val="44723626"/>
    <w:lvl w:ilvl="0" w:tplc="F9C49E7C">
      <w:start w:val="1"/>
      <w:numFmt w:val="lowerLetter"/>
      <w:lvlText w:val="%1)"/>
      <w:lvlJc w:val="left"/>
      <w:pPr>
        <w:ind w:left="1080" w:hanging="360"/>
      </w:pPr>
    </w:lvl>
    <w:lvl w:ilvl="1" w:tplc="8FA8C232" w:tentative="1">
      <w:start w:val="1"/>
      <w:numFmt w:val="lowerLetter"/>
      <w:lvlText w:val="%2."/>
      <w:lvlJc w:val="left"/>
      <w:pPr>
        <w:ind w:left="1800" w:hanging="360"/>
      </w:pPr>
    </w:lvl>
    <w:lvl w:ilvl="2" w:tplc="6CE87878" w:tentative="1">
      <w:start w:val="1"/>
      <w:numFmt w:val="lowerRoman"/>
      <w:lvlText w:val="%3."/>
      <w:lvlJc w:val="right"/>
      <w:pPr>
        <w:ind w:left="2520" w:hanging="180"/>
      </w:pPr>
    </w:lvl>
    <w:lvl w:ilvl="3" w:tplc="0A941F7C" w:tentative="1">
      <w:start w:val="1"/>
      <w:numFmt w:val="decimal"/>
      <w:lvlText w:val="%4."/>
      <w:lvlJc w:val="left"/>
      <w:pPr>
        <w:ind w:left="3240" w:hanging="360"/>
      </w:pPr>
    </w:lvl>
    <w:lvl w:ilvl="4" w:tplc="194E442E" w:tentative="1">
      <w:start w:val="1"/>
      <w:numFmt w:val="lowerLetter"/>
      <w:lvlText w:val="%5."/>
      <w:lvlJc w:val="left"/>
      <w:pPr>
        <w:ind w:left="3960" w:hanging="360"/>
      </w:pPr>
    </w:lvl>
    <w:lvl w:ilvl="5" w:tplc="F58E0E72" w:tentative="1">
      <w:start w:val="1"/>
      <w:numFmt w:val="lowerRoman"/>
      <w:lvlText w:val="%6."/>
      <w:lvlJc w:val="right"/>
      <w:pPr>
        <w:ind w:left="4680" w:hanging="180"/>
      </w:pPr>
    </w:lvl>
    <w:lvl w:ilvl="6" w:tplc="6E6A544C" w:tentative="1">
      <w:start w:val="1"/>
      <w:numFmt w:val="decimal"/>
      <w:lvlText w:val="%7."/>
      <w:lvlJc w:val="left"/>
      <w:pPr>
        <w:ind w:left="5400" w:hanging="360"/>
      </w:pPr>
    </w:lvl>
    <w:lvl w:ilvl="7" w:tplc="64D01656" w:tentative="1">
      <w:start w:val="1"/>
      <w:numFmt w:val="lowerLetter"/>
      <w:lvlText w:val="%8."/>
      <w:lvlJc w:val="left"/>
      <w:pPr>
        <w:ind w:left="6120" w:hanging="360"/>
      </w:pPr>
    </w:lvl>
    <w:lvl w:ilvl="8" w:tplc="366635F4" w:tentative="1">
      <w:start w:val="1"/>
      <w:numFmt w:val="lowerRoman"/>
      <w:lvlText w:val="%9."/>
      <w:lvlJc w:val="right"/>
      <w:pPr>
        <w:ind w:left="6840" w:hanging="180"/>
      </w:pPr>
    </w:lvl>
  </w:abstractNum>
  <w:abstractNum w:abstractNumId="32">
    <w:nsid w:val="56E55D71"/>
    <w:multiLevelType w:val="singleLevel"/>
    <w:tmpl w:val="08090001"/>
    <w:lvl w:ilvl="0">
      <w:start w:val="1"/>
      <w:numFmt w:val="bullet"/>
      <w:lvlText w:val=""/>
      <w:lvlJc w:val="left"/>
      <w:pPr>
        <w:ind w:left="360" w:hanging="360"/>
      </w:pPr>
      <w:rPr>
        <w:rFonts w:ascii="Symbol" w:hAnsi="Symbol" w:hint="default"/>
      </w:rPr>
    </w:lvl>
  </w:abstractNum>
  <w:abstractNum w:abstractNumId="33">
    <w:nsid w:val="5A192E3E"/>
    <w:multiLevelType w:val="hybridMultilevel"/>
    <w:tmpl w:val="7B20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B703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BD24D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nsid w:val="60C36FB3"/>
    <w:multiLevelType w:val="singleLevel"/>
    <w:tmpl w:val="08090001"/>
    <w:lvl w:ilvl="0">
      <w:start w:val="1"/>
      <w:numFmt w:val="bullet"/>
      <w:lvlText w:val=""/>
      <w:lvlJc w:val="left"/>
      <w:pPr>
        <w:ind w:left="720" w:hanging="360"/>
      </w:pPr>
      <w:rPr>
        <w:rFonts w:ascii="Symbol" w:hAnsi="Symbol" w:hint="default"/>
      </w:rPr>
    </w:lvl>
  </w:abstractNum>
  <w:abstractNum w:abstractNumId="37">
    <w:nsid w:val="6271504D"/>
    <w:multiLevelType w:val="hybridMultilevel"/>
    <w:tmpl w:val="B98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D65F76"/>
    <w:multiLevelType w:val="hybridMultilevel"/>
    <w:tmpl w:val="D4AAFF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nsid w:val="6B5623B5"/>
    <w:multiLevelType w:val="hybridMultilevel"/>
    <w:tmpl w:val="43186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0572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FED3907"/>
    <w:multiLevelType w:val="singleLevel"/>
    <w:tmpl w:val="0809000F"/>
    <w:lvl w:ilvl="0">
      <w:start w:val="1"/>
      <w:numFmt w:val="decimal"/>
      <w:lvlText w:val="%1."/>
      <w:lvlJc w:val="left"/>
      <w:pPr>
        <w:tabs>
          <w:tab w:val="num" w:pos="360"/>
        </w:tabs>
        <w:ind w:left="360" w:hanging="360"/>
      </w:pPr>
    </w:lvl>
  </w:abstractNum>
  <w:abstractNum w:abstractNumId="42">
    <w:nsid w:val="70680591"/>
    <w:multiLevelType w:val="hybridMultilevel"/>
    <w:tmpl w:val="22A2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0761E6A"/>
    <w:multiLevelType w:val="hybridMultilevel"/>
    <w:tmpl w:val="E44AA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A3734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nsid w:val="71F767D6"/>
    <w:multiLevelType w:val="hybridMultilevel"/>
    <w:tmpl w:val="FCC24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0D5735"/>
    <w:multiLevelType w:val="hybridMultilevel"/>
    <w:tmpl w:val="96F8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7B40F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nsid w:val="79190C8D"/>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8"/>
  </w:num>
  <w:num w:numId="2">
    <w:abstractNumId w:val="12"/>
  </w:num>
  <w:num w:numId="3">
    <w:abstractNumId w:val="28"/>
  </w:num>
  <w:num w:numId="4">
    <w:abstractNumId w:val="35"/>
  </w:num>
  <w:num w:numId="5">
    <w:abstractNumId w:val="16"/>
  </w:num>
  <w:num w:numId="6">
    <w:abstractNumId w:val="9"/>
  </w:num>
  <w:num w:numId="7">
    <w:abstractNumId w:val="17"/>
  </w:num>
  <w:num w:numId="8">
    <w:abstractNumId w:val="11"/>
  </w:num>
  <w:num w:numId="9">
    <w:abstractNumId w:val="18"/>
  </w:num>
  <w:num w:numId="10">
    <w:abstractNumId w:val="7"/>
  </w:num>
  <w:num w:numId="11">
    <w:abstractNumId w:val="0"/>
  </w:num>
  <w:num w:numId="12">
    <w:abstractNumId w:val="19"/>
  </w:num>
  <w:num w:numId="13">
    <w:abstractNumId w:val="13"/>
  </w:num>
  <w:num w:numId="14">
    <w:abstractNumId w:val="14"/>
  </w:num>
  <w:num w:numId="15">
    <w:abstractNumId w:val="15"/>
  </w:num>
  <w:num w:numId="16">
    <w:abstractNumId w:val="47"/>
  </w:num>
  <w:num w:numId="17">
    <w:abstractNumId w:val="20"/>
  </w:num>
  <w:num w:numId="18">
    <w:abstractNumId w:val="30"/>
  </w:num>
  <w:num w:numId="19">
    <w:abstractNumId w:val="23"/>
  </w:num>
  <w:num w:numId="20">
    <w:abstractNumId w:val="34"/>
  </w:num>
  <w:num w:numId="21">
    <w:abstractNumId w:val="32"/>
  </w:num>
  <w:num w:numId="22">
    <w:abstractNumId w:val="44"/>
  </w:num>
  <w:num w:numId="23">
    <w:abstractNumId w:val="41"/>
  </w:num>
  <w:num w:numId="24">
    <w:abstractNumId w:val="3"/>
  </w:num>
  <w:num w:numId="25">
    <w:abstractNumId w:val="31"/>
  </w:num>
  <w:num w:numId="26">
    <w:abstractNumId w:val="25"/>
  </w:num>
  <w:num w:numId="27">
    <w:abstractNumId w:val="40"/>
  </w:num>
  <w:num w:numId="28">
    <w:abstractNumId w:val="36"/>
  </w:num>
  <w:num w:numId="29">
    <w:abstractNumId w:val="2"/>
  </w:num>
  <w:num w:numId="30">
    <w:abstractNumId w:val="6"/>
  </w:num>
  <w:num w:numId="31">
    <w:abstractNumId w:val="33"/>
  </w:num>
  <w:num w:numId="32">
    <w:abstractNumId w:val="39"/>
  </w:num>
  <w:num w:numId="33">
    <w:abstractNumId w:val="24"/>
  </w:num>
  <w:num w:numId="34">
    <w:abstractNumId w:val="21"/>
  </w:num>
  <w:num w:numId="35">
    <w:abstractNumId w:val="8"/>
  </w:num>
  <w:num w:numId="36">
    <w:abstractNumId w:val="4"/>
  </w:num>
  <w:num w:numId="37">
    <w:abstractNumId w:val="27"/>
  </w:num>
  <w:num w:numId="38">
    <w:abstractNumId w:val="37"/>
  </w:num>
  <w:num w:numId="39">
    <w:abstractNumId w:val="5"/>
  </w:num>
  <w:num w:numId="40">
    <w:abstractNumId w:val="43"/>
  </w:num>
  <w:num w:numId="41">
    <w:abstractNumId w:val="26"/>
  </w:num>
  <w:num w:numId="42">
    <w:abstractNumId w:val="22"/>
  </w:num>
  <w:num w:numId="43">
    <w:abstractNumId w:val="42"/>
  </w:num>
  <w:num w:numId="44">
    <w:abstractNumId w:val="29"/>
  </w:num>
  <w:num w:numId="45">
    <w:abstractNumId w:val="45"/>
  </w:num>
  <w:num w:numId="46">
    <w:abstractNumId w:val="1"/>
  </w:num>
  <w:num w:numId="47">
    <w:abstractNumId w:val="38"/>
  </w:num>
  <w:num w:numId="48">
    <w:abstractNumId w:val="10"/>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Courtminssroy'sversion05.02.04.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EE1BAE"/>
    <w:rsid w:val="00007A2C"/>
    <w:rsid w:val="000100C7"/>
    <w:rsid w:val="0001082D"/>
    <w:rsid w:val="00010F2A"/>
    <w:rsid w:val="00012F5E"/>
    <w:rsid w:val="000160AE"/>
    <w:rsid w:val="00020689"/>
    <w:rsid w:val="00020747"/>
    <w:rsid w:val="000242C7"/>
    <w:rsid w:val="00025056"/>
    <w:rsid w:val="00027C85"/>
    <w:rsid w:val="000327EA"/>
    <w:rsid w:val="00036658"/>
    <w:rsid w:val="00045445"/>
    <w:rsid w:val="000464F3"/>
    <w:rsid w:val="000472FD"/>
    <w:rsid w:val="00060256"/>
    <w:rsid w:val="0006309B"/>
    <w:rsid w:val="00073C28"/>
    <w:rsid w:val="0009131B"/>
    <w:rsid w:val="0009273C"/>
    <w:rsid w:val="00097994"/>
    <w:rsid w:val="000A4493"/>
    <w:rsid w:val="000A623D"/>
    <w:rsid w:val="000B36E1"/>
    <w:rsid w:val="000C03A9"/>
    <w:rsid w:val="000D1851"/>
    <w:rsid w:val="000D3336"/>
    <w:rsid w:val="000D6B8F"/>
    <w:rsid w:val="000E07A3"/>
    <w:rsid w:val="000E5189"/>
    <w:rsid w:val="000E555F"/>
    <w:rsid w:val="000E6A66"/>
    <w:rsid w:val="000E739C"/>
    <w:rsid w:val="000F0FF3"/>
    <w:rsid w:val="0010039A"/>
    <w:rsid w:val="001159BB"/>
    <w:rsid w:val="00116FCB"/>
    <w:rsid w:val="001273CE"/>
    <w:rsid w:val="00137FA4"/>
    <w:rsid w:val="00140243"/>
    <w:rsid w:val="00141E24"/>
    <w:rsid w:val="0014250D"/>
    <w:rsid w:val="00142BF6"/>
    <w:rsid w:val="00144CDB"/>
    <w:rsid w:val="00145193"/>
    <w:rsid w:val="0014705A"/>
    <w:rsid w:val="00153740"/>
    <w:rsid w:val="00156BF0"/>
    <w:rsid w:val="001674C3"/>
    <w:rsid w:val="00175469"/>
    <w:rsid w:val="00175C32"/>
    <w:rsid w:val="00177C07"/>
    <w:rsid w:val="00180F7A"/>
    <w:rsid w:val="00182818"/>
    <w:rsid w:val="00190304"/>
    <w:rsid w:val="001A4061"/>
    <w:rsid w:val="001A6185"/>
    <w:rsid w:val="001B1573"/>
    <w:rsid w:val="001B1F2A"/>
    <w:rsid w:val="001B725D"/>
    <w:rsid w:val="001C2D76"/>
    <w:rsid w:val="001C5AC0"/>
    <w:rsid w:val="001C6191"/>
    <w:rsid w:val="001C66D2"/>
    <w:rsid w:val="001C6D4D"/>
    <w:rsid w:val="001D121B"/>
    <w:rsid w:val="001D173B"/>
    <w:rsid w:val="001D412D"/>
    <w:rsid w:val="001E070F"/>
    <w:rsid w:val="001F090C"/>
    <w:rsid w:val="001F093F"/>
    <w:rsid w:val="001F7FF9"/>
    <w:rsid w:val="002050A2"/>
    <w:rsid w:val="00210FE6"/>
    <w:rsid w:val="0021343B"/>
    <w:rsid w:val="0021618C"/>
    <w:rsid w:val="00216469"/>
    <w:rsid w:val="00232508"/>
    <w:rsid w:val="00232641"/>
    <w:rsid w:val="00234D85"/>
    <w:rsid w:val="0023620D"/>
    <w:rsid w:val="00237333"/>
    <w:rsid w:val="002408F8"/>
    <w:rsid w:val="00252F16"/>
    <w:rsid w:val="002560B0"/>
    <w:rsid w:val="002608A7"/>
    <w:rsid w:val="00263C5A"/>
    <w:rsid w:val="00273C38"/>
    <w:rsid w:val="00274108"/>
    <w:rsid w:val="00276A23"/>
    <w:rsid w:val="0029399F"/>
    <w:rsid w:val="002A188E"/>
    <w:rsid w:val="002A4387"/>
    <w:rsid w:val="002A4BE8"/>
    <w:rsid w:val="002B4BE2"/>
    <w:rsid w:val="002C4C06"/>
    <w:rsid w:val="002D1D0E"/>
    <w:rsid w:val="002D1F70"/>
    <w:rsid w:val="002D2034"/>
    <w:rsid w:val="002D3BFE"/>
    <w:rsid w:val="002E1FF5"/>
    <w:rsid w:val="002E6F50"/>
    <w:rsid w:val="002F6CCF"/>
    <w:rsid w:val="002F7ECC"/>
    <w:rsid w:val="00300479"/>
    <w:rsid w:val="00302E02"/>
    <w:rsid w:val="00302ED8"/>
    <w:rsid w:val="0030324E"/>
    <w:rsid w:val="00303B82"/>
    <w:rsid w:val="00307EC3"/>
    <w:rsid w:val="00312712"/>
    <w:rsid w:val="003171B8"/>
    <w:rsid w:val="00323558"/>
    <w:rsid w:val="00332A1B"/>
    <w:rsid w:val="00334053"/>
    <w:rsid w:val="00340AC5"/>
    <w:rsid w:val="00340B42"/>
    <w:rsid w:val="0034460E"/>
    <w:rsid w:val="003455F4"/>
    <w:rsid w:val="003508FB"/>
    <w:rsid w:val="0035352A"/>
    <w:rsid w:val="003563B7"/>
    <w:rsid w:val="00356654"/>
    <w:rsid w:val="00365A46"/>
    <w:rsid w:val="00374613"/>
    <w:rsid w:val="00387474"/>
    <w:rsid w:val="00387CC8"/>
    <w:rsid w:val="003905DD"/>
    <w:rsid w:val="0039458C"/>
    <w:rsid w:val="003A01F4"/>
    <w:rsid w:val="003A3816"/>
    <w:rsid w:val="003B2544"/>
    <w:rsid w:val="003B2C58"/>
    <w:rsid w:val="003B7DCB"/>
    <w:rsid w:val="003C06DB"/>
    <w:rsid w:val="003D1C69"/>
    <w:rsid w:val="003D49EA"/>
    <w:rsid w:val="003E190E"/>
    <w:rsid w:val="003F1DA8"/>
    <w:rsid w:val="003F26BA"/>
    <w:rsid w:val="003F292B"/>
    <w:rsid w:val="004027F0"/>
    <w:rsid w:val="004114E0"/>
    <w:rsid w:val="0041214C"/>
    <w:rsid w:val="00417DFA"/>
    <w:rsid w:val="00424A45"/>
    <w:rsid w:val="00436B5D"/>
    <w:rsid w:val="0043700E"/>
    <w:rsid w:val="0044275C"/>
    <w:rsid w:val="00444842"/>
    <w:rsid w:val="00451523"/>
    <w:rsid w:val="00460639"/>
    <w:rsid w:val="00467C32"/>
    <w:rsid w:val="00470E19"/>
    <w:rsid w:val="00472ED3"/>
    <w:rsid w:val="00480C9C"/>
    <w:rsid w:val="00481206"/>
    <w:rsid w:val="004814D9"/>
    <w:rsid w:val="00485887"/>
    <w:rsid w:val="00491C06"/>
    <w:rsid w:val="004922B0"/>
    <w:rsid w:val="004A0D5A"/>
    <w:rsid w:val="004A1D46"/>
    <w:rsid w:val="004A44EF"/>
    <w:rsid w:val="004C0BA1"/>
    <w:rsid w:val="004C2D80"/>
    <w:rsid w:val="004D49F0"/>
    <w:rsid w:val="004E11CE"/>
    <w:rsid w:val="004E3073"/>
    <w:rsid w:val="004E549B"/>
    <w:rsid w:val="005008CB"/>
    <w:rsid w:val="00500B0B"/>
    <w:rsid w:val="00503C6C"/>
    <w:rsid w:val="00506DE6"/>
    <w:rsid w:val="00522663"/>
    <w:rsid w:val="005247D4"/>
    <w:rsid w:val="005418C2"/>
    <w:rsid w:val="005519F7"/>
    <w:rsid w:val="00553666"/>
    <w:rsid w:val="00553965"/>
    <w:rsid w:val="00556428"/>
    <w:rsid w:val="00562B2E"/>
    <w:rsid w:val="005640C4"/>
    <w:rsid w:val="00565715"/>
    <w:rsid w:val="00571190"/>
    <w:rsid w:val="0058705C"/>
    <w:rsid w:val="005871AB"/>
    <w:rsid w:val="00595A0F"/>
    <w:rsid w:val="005A23BC"/>
    <w:rsid w:val="005A4BA3"/>
    <w:rsid w:val="005A4FAA"/>
    <w:rsid w:val="005B072A"/>
    <w:rsid w:val="005B23F9"/>
    <w:rsid w:val="005B2E23"/>
    <w:rsid w:val="005C4D25"/>
    <w:rsid w:val="005C4E5E"/>
    <w:rsid w:val="005D074B"/>
    <w:rsid w:val="005D622C"/>
    <w:rsid w:val="005E1492"/>
    <w:rsid w:val="005E221B"/>
    <w:rsid w:val="005F1BFD"/>
    <w:rsid w:val="0060195B"/>
    <w:rsid w:val="0060498F"/>
    <w:rsid w:val="006077D4"/>
    <w:rsid w:val="00611C9F"/>
    <w:rsid w:val="0061300E"/>
    <w:rsid w:val="0062173B"/>
    <w:rsid w:val="006241D2"/>
    <w:rsid w:val="00634ABE"/>
    <w:rsid w:val="00640889"/>
    <w:rsid w:val="006430E0"/>
    <w:rsid w:val="006538D9"/>
    <w:rsid w:val="00654F0B"/>
    <w:rsid w:val="006667BD"/>
    <w:rsid w:val="00674285"/>
    <w:rsid w:val="00680DBB"/>
    <w:rsid w:val="006858B9"/>
    <w:rsid w:val="006919E6"/>
    <w:rsid w:val="006A1BF6"/>
    <w:rsid w:val="006A3158"/>
    <w:rsid w:val="006A3914"/>
    <w:rsid w:val="006B0F40"/>
    <w:rsid w:val="006C562E"/>
    <w:rsid w:val="006D0B1E"/>
    <w:rsid w:val="006D1012"/>
    <w:rsid w:val="006D373B"/>
    <w:rsid w:val="00703EF6"/>
    <w:rsid w:val="0070491F"/>
    <w:rsid w:val="00706253"/>
    <w:rsid w:val="007171C8"/>
    <w:rsid w:val="00717F5E"/>
    <w:rsid w:val="00736B84"/>
    <w:rsid w:val="00740FF3"/>
    <w:rsid w:val="0074168A"/>
    <w:rsid w:val="00742764"/>
    <w:rsid w:val="00747FEE"/>
    <w:rsid w:val="0075032F"/>
    <w:rsid w:val="0075436F"/>
    <w:rsid w:val="007546B6"/>
    <w:rsid w:val="00754972"/>
    <w:rsid w:val="00754C04"/>
    <w:rsid w:val="007676CF"/>
    <w:rsid w:val="00772599"/>
    <w:rsid w:val="007816F5"/>
    <w:rsid w:val="00787ABA"/>
    <w:rsid w:val="00787C55"/>
    <w:rsid w:val="00790AE7"/>
    <w:rsid w:val="00793EEB"/>
    <w:rsid w:val="00794596"/>
    <w:rsid w:val="007A040F"/>
    <w:rsid w:val="007A6CEB"/>
    <w:rsid w:val="007B058D"/>
    <w:rsid w:val="007B1803"/>
    <w:rsid w:val="007B4ADC"/>
    <w:rsid w:val="007B7484"/>
    <w:rsid w:val="007C246C"/>
    <w:rsid w:val="007C40BB"/>
    <w:rsid w:val="007D1050"/>
    <w:rsid w:val="007D318E"/>
    <w:rsid w:val="007D60C8"/>
    <w:rsid w:val="007D639E"/>
    <w:rsid w:val="007E27D0"/>
    <w:rsid w:val="007E2FB8"/>
    <w:rsid w:val="007F04DE"/>
    <w:rsid w:val="007F3F36"/>
    <w:rsid w:val="00802056"/>
    <w:rsid w:val="0081707F"/>
    <w:rsid w:val="008209D2"/>
    <w:rsid w:val="00827DDC"/>
    <w:rsid w:val="008314AC"/>
    <w:rsid w:val="008349F1"/>
    <w:rsid w:val="00834B8C"/>
    <w:rsid w:val="00841F54"/>
    <w:rsid w:val="008428F7"/>
    <w:rsid w:val="00855150"/>
    <w:rsid w:val="00864C98"/>
    <w:rsid w:val="00873A1E"/>
    <w:rsid w:val="00874A2D"/>
    <w:rsid w:val="0088111A"/>
    <w:rsid w:val="00884201"/>
    <w:rsid w:val="00892BD5"/>
    <w:rsid w:val="00894215"/>
    <w:rsid w:val="008A14AC"/>
    <w:rsid w:val="008A3C0D"/>
    <w:rsid w:val="008B2734"/>
    <w:rsid w:val="008C3982"/>
    <w:rsid w:val="008C456D"/>
    <w:rsid w:val="008C4C51"/>
    <w:rsid w:val="008D255B"/>
    <w:rsid w:val="008E0674"/>
    <w:rsid w:val="008E244F"/>
    <w:rsid w:val="008F1DA4"/>
    <w:rsid w:val="008F40E1"/>
    <w:rsid w:val="0090254A"/>
    <w:rsid w:val="00903115"/>
    <w:rsid w:val="00906579"/>
    <w:rsid w:val="00907567"/>
    <w:rsid w:val="009140C0"/>
    <w:rsid w:val="00921BAA"/>
    <w:rsid w:val="00923407"/>
    <w:rsid w:val="009234D9"/>
    <w:rsid w:val="0093082C"/>
    <w:rsid w:val="009341BA"/>
    <w:rsid w:val="00936253"/>
    <w:rsid w:val="0094341A"/>
    <w:rsid w:val="009440A7"/>
    <w:rsid w:val="00950F87"/>
    <w:rsid w:val="00961CE4"/>
    <w:rsid w:val="00963063"/>
    <w:rsid w:val="009701A8"/>
    <w:rsid w:val="00977385"/>
    <w:rsid w:val="00982CAE"/>
    <w:rsid w:val="00983551"/>
    <w:rsid w:val="0098611C"/>
    <w:rsid w:val="00986137"/>
    <w:rsid w:val="00993698"/>
    <w:rsid w:val="009974AC"/>
    <w:rsid w:val="009A0C68"/>
    <w:rsid w:val="009A3F3B"/>
    <w:rsid w:val="009B0B5B"/>
    <w:rsid w:val="009B4090"/>
    <w:rsid w:val="009C684D"/>
    <w:rsid w:val="009D5BE1"/>
    <w:rsid w:val="009E0CA9"/>
    <w:rsid w:val="009E1DF2"/>
    <w:rsid w:val="00A046A6"/>
    <w:rsid w:val="00A0774F"/>
    <w:rsid w:val="00A121E3"/>
    <w:rsid w:val="00A20FA3"/>
    <w:rsid w:val="00A23738"/>
    <w:rsid w:val="00A24179"/>
    <w:rsid w:val="00A253B1"/>
    <w:rsid w:val="00A3114F"/>
    <w:rsid w:val="00A314F7"/>
    <w:rsid w:val="00A33F76"/>
    <w:rsid w:val="00A43230"/>
    <w:rsid w:val="00A5133D"/>
    <w:rsid w:val="00A533BF"/>
    <w:rsid w:val="00A60C2E"/>
    <w:rsid w:val="00A64C31"/>
    <w:rsid w:val="00A74635"/>
    <w:rsid w:val="00A7533E"/>
    <w:rsid w:val="00A81503"/>
    <w:rsid w:val="00A8183E"/>
    <w:rsid w:val="00A83373"/>
    <w:rsid w:val="00A87EF9"/>
    <w:rsid w:val="00A90B45"/>
    <w:rsid w:val="00A91BD3"/>
    <w:rsid w:val="00A94256"/>
    <w:rsid w:val="00AA1CDC"/>
    <w:rsid w:val="00AA23BB"/>
    <w:rsid w:val="00AA564A"/>
    <w:rsid w:val="00AB4BA4"/>
    <w:rsid w:val="00AB52A4"/>
    <w:rsid w:val="00AB54E2"/>
    <w:rsid w:val="00AC6BA1"/>
    <w:rsid w:val="00AD01D3"/>
    <w:rsid w:val="00AD51F4"/>
    <w:rsid w:val="00AE546D"/>
    <w:rsid w:val="00AE5C7A"/>
    <w:rsid w:val="00AF19C8"/>
    <w:rsid w:val="00AF3E2B"/>
    <w:rsid w:val="00AF4570"/>
    <w:rsid w:val="00AF6C3F"/>
    <w:rsid w:val="00AF6CE4"/>
    <w:rsid w:val="00B00453"/>
    <w:rsid w:val="00B02400"/>
    <w:rsid w:val="00B05143"/>
    <w:rsid w:val="00B05A2D"/>
    <w:rsid w:val="00B12779"/>
    <w:rsid w:val="00B23FFC"/>
    <w:rsid w:val="00B3387D"/>
    <w:rsid w:val="00B34BF8"/>
    <w:rsid w:val="00B41BC5"/>
    <w:rsid w:val="00B509A4"/>
    <w:rsid w:val="00B576E0"/>
    <w:rsid w:val="00B611D7"/>
    <w:rsid w:val="00B66982"/>
    <w:rsid w:val="00B669E1"/>
    <w:rsid w:val="00B7773D"/>
    <w:rsid w:val="00B816E7"/>
    <w:rsid w:val="00B97D30"/>
    <w:rsid w:val="00BA0F33"/>
    <w:rsid w:val="00BA2196"/>
    <w:rsid w:val="00BA35DD"/>
    <w:rsid w:val="00BA39EB"/>
    <w:rsid w:val="00BA4D54"/>
    <w:rsid w:val="00BB6D2C"/>
    <w:rsid w:val="00BC0BBD"/>
    <w:rsid w:val="00BC1471"/>
    <w:rsid w:val="00BD5897"/>
    <w:rsid w:val="00BD7510"/>
    <w:rsid w:val="00BF0B3B"/>
    <w:rsid w:val="00BF720D"/>
    <w:rsid w:val="00C159AB"/>
    <w:rsid w:val="00C16536"/>
    <w:rsid w:val="00C2110A"/>
    <w:rsid w:val="00C33068"/>
    <w:rsid w:val="00C3393D"/>
    <w:rsid w:val="00C3529F"/>
    <w:rsid w:val="00C3729F"/>
    <w:rsid w:val="00C41330"/>
    <w:rsid w:val="00C439C4"/>
    <w:rsid w:val="00C52633"/>
    <w:rsid w:val="00C526E2"/>
    <w:rsid w:val="00C52B48"/>
    <w:rsid w:val="00C60CEB"/>
    <w:rsid w:val="00C64EB6"/>
    <w:rsid w:val="00C66EF1"/>
    <w:rsid w:val="00C73651"/>
    <w:rsid w:val="00C7600C"/>
    <w:rsid w:val="00C81442"/>
    <w:rsid w:val="00C967DF"/>
    <w:rsid w:val="00CA0336"/>
    <w:rsid w:val="00CA5B24"/>
    <w:rsid w:val="00CB4F2E"/>
    <w:rsid w:val="00CC1656"/>
    <w:rsid w:val="00CC483D"/>
    <w:rsid w:val="00CD0495"/>
    <w:rsid w:val="00CD0D80"/>
    <w:rsid w:val="00CD1F9D"/>
    <w:rsid w:val="00CD39E8"/>
    <w:rsid w:val="00CD68EE"/>
    <w:rsid w:val="00CE2A58"/>
    <w:rsid w:val="00CE31EE"/>
    <w:rsid w:val="00CE4BEB"/>
    <w:rsid w:val="00CE59EE"/>
    <w:rsid w:val="00CF0B5E"/>
    <w:rsid w:val="00CF147F"/>
    <w:rsid w:val="00CF5BA6"/>
    <w:rsid w:val="00CF66FB"/>
    <w:rsid w:val="00D0521C"/>
    <w:rsid w:val="00D12D93"/>
    <w:rsid w:val="00D14F88"/>
    <w:rsid w:val="00D170BE"/>
    <w:rsid w:val="00D22F20"/>
    <w:rsid w:val="00D2545D"/>
    <w:rsid w:val="00D27E83"/>
    <w:rsid w:val="00D37545"/>
    <w:rsid w:val="00D40543"/>
    <w:rsid w:val="00D41A58"/>
    <w:rsid w:val="00D52DD2"/>
    <w:rsid w:val="00D5571B"/>
    <w:rsid w:val="00D609DF"/>
    <w:rsid w:val="00D60F86"/>
    <w:rsid w:val="00D639D7"/>
    <w:rsid w:val="00D66EB9"/>
    <w:rsid w:val="00D71D12"/>
    <w:rsid w:val="00D74879"/>
    <w:rsid w:val="00D765F6"/>
    <w:rsid w:val="00D76CDD"/>
    <w:rsid w:val="00D770DD"/>
    <w:rsid w:val="00D846B6"/>
    <w:rsid w:val="00D94532"/>
    <w:rsid w:val="00D950AA"/>
    <w:rsid w:val="00DA37E9"/>
    <w:rsid w:val="00DB2AFD"/>
    <w:rsid w:val="00DB4245"/>
    <w:rsid w:val="00DC1E02"/>
    <w:rsid w:val="00DC7489"/>
    <w:rsid w:val="00DF3EA1"/>
    <w:rsid w:val="00DF4331"/>
    <w:rsid w:val="00E00D54"/>
    <w:rsid w:val="00E02C16"/>
    <w:rsid w:val="00E0600A"/>
    <w:rsid w:val="00E062CA"/>
    <w:rsid w:val="00E0732F"/>
    <w:rsid w:val="00E1110F"/>
    <w:rsid w:val="00E12B2E"/>
    <w:rsid w:val="00E15CF3"/>
    <w:rsid w:val="00E165AC"/>
    <w:rsid w:val="00E166E8"/>
    <w:rsid w:val="00E21590"/>
    <w:rsid w:val="00E32B97"/>
    <w:rsid w:val="00E33B04"/>
    <w:rsid w:val="00E41839"/>
    <w:rsid w:val="00E45816"/>
    <w:rsid w:val="00E51587"/>
    <w:rsid w:val="00E52CEE"/>
    <w:rsid w:val="00E54B18"/>
    <w:rsid w:val="00E561B6"/>
    <w:rsid w:val="00E6072B"/>
    <w:rsid w:val="00E61C7C"/>
    <w:rsid w:val="00E648C4"/>
    <w:rsid w:val="00E65987"/>
    <w:rsid w:val="00E7196E"/>
    <w:rsid w:val="00E76728"/>
    <w:rsid w:val="00E92A17"/>
    <w:rsid w:val="00E9475D"/>
    <w:rsid w:val="00E948E0"/>
    <w:rsid w:val="00EA5934"/>
    <w:rsid w:val="00EC2216"/>
    <w:rsid w:val="00EC2302"/>
    <w:rsid w:val="00ED4D50"/>
    <w:rsid w:val="00EE1BAE"/>
    <w:rsid w:val="00EE4100"/>
    <w:rsid w:val="00EE5A36"/>
    <w:rsid w:val="00F1170C"/>
    <w:rsid w:val="00F12BBD"/>
    <w:rsid w:val="00F14E8B"/>
    <w:rsid w:val="00F155B2"/>
    <w:rsid w:val="00F20621"/>
    <w:rsid w:val="00F20F74"/>
    <w:rsid w:val="00F30534"/>
    <w:rsid w:val="00F37131"/>
    <w:rsid w:val="00F41A05"/>
    <w:rsid w:val="00F52F36"/>
    <w:rsid w:val="00F5729C"/>
    <w:rsid w:val="00F64B42"/>
    <w:rsid w:val="00F668F7"/>
    <w:rsid w:val="00F85683"/>
    <w:rsid w:val="00F87160"/>
    <w:rsid w:val="00F9595F"/>
    <w:rsid w:val="00FB3CCE"/>
    <w:rsid w:val="00FB52DD"/>
    <w:rsid w:val="00FC05AF"/>
    <w:rsid w:val="00FC1770"/>
    <w:rsid w:val="00FD03FB"/>
    <w:rsid w:val="00FD105E"/>
    <w:rsid w:val="00FD4D13"/>
    <w:rsid w:val="00FE5336"/>
    <w:rsid w:val="00FE5D67"/>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185"/>
    <w:rPr>
      <w:lang w:eastAsia="en-US"/>
    </w:rPr>
  </w:style>
  <w:style w:type="paragraph" w:styleId="Heading1">
    <w:name w:val="heading 1"/>
    <w:basedOn w:val="Normal"/>
    <w:next w:val="Normal"/>
    <w:qFormat/>
    <w:rsid w:val="001A6185"/>
    <w:pPr>
      <w:keepNext/>
      <w:outlineLvl w:val="0"/>
    </w:pPr>
    <w:rPr>
      <w:b/>
      <w:sz w:val="24"/>
    </w:rPr>
  </w:style>
  <w:style w:type="paragraph" w:styleId="Heading2">
    <w:name w:val="heading 2"/>
    <w:basedOn w:val="Normal"/>
    <w:next w:val="Normal"/>
    <w:qFormat/>
    <w:rsid w:val="001A6185"/>
    <w:pPr>
      <w:keepNext/>
      <w:outlineLvl w:val="1"/>
    </w:pPr>
    <w:rPr>
      <w:sz w:val="24"/>
    </w:rPr>
  </w:style>
  <w:style w:type="paragraph" w:styleId="Heading3">
    <w:name w:val="heading 3"/>
    <w:basedOn w:val="Normal"/>
    <w:next w:val="Normal"/>
    <w:qFormat/>
    <w:rsid w:val="001A6185"/>
    <w:pPr>
      <w:keepNext/>
      <w:tabs>
        <w:tab w:val="left" w:pos="2835"/>
      </w:tabs>
      <w:ind w:right="180"/>
      <w:jc w:val="both"/>
      <w:outlineLvl w:val="2"/>
    </w:pPr>
    <w:rPr>
      <w:b/>
      <w:sz w:val="22"/>
    </w:rPr>
  </w:style>
  <w:style w:type="paragraph" w:styleId="Heading4">
    <w:name w:val="heading 4"/>
    <w:basedOn w:val="Normal"/>
    <w:next w:val="Normal"/>
    <w:qFormat/>
    <w:rsid w:val="001A6185"/>
    <w:pPr>
      <w:keepNext/>
      <w:tabs>
        <w:tab w:val="left" w:pos="1418"/>
        <w:tab w:val="left" w:pos="2835"/>
      </w:tabs>
      <w:ind w:left="2835" w:hanging="2835"/>
      <w:outlineLvl w:val="3"/>
    </w:pPr>
    <w:rPr>
      <w:b/>
      <w:bCs/>
      <w:sz w:val="22"/>
    </w:rPr>
  </w:style>
  <w:style w:type="paragraph" w:styleId="Heading5">
    <w:name w:val="heading 5"/>
    <w:basedOn w:val="Normal"/>
    <w:next w:val="Normal"/>
    <w:qFormat/>
    <w:rsid w:val="001A6185"/>
    <w:pPr>
      <w:keepNext/>
      <w:ind w:left="2880" w:hanging="2880"/>
      <w:jc w:val="both"/>
      <w:outlineLvl w:val="4"/>
    </w:pPr>
    <w:rPr>
      <w:b/>
      <w:bCs/>
      <w:sz w:val="22"/>
    </w:rPr>
  </w:style>
  <w:style w:type="paragraph" w:styleId="Heading6">
    <w:name w:val="heading 6"/>
    <w:basedOn w:val="Normal"/>
    <w:next w:val="Normal"/>
    <w:qFormat/>
    <w:rsid w:val="001A6185"/>
    <w:pPr>
      <w:keepNext/>
      <w:jc w:val="both"/>
      <w:outlineLvl w:val="5"/>
    </w:pPr>
    <w:rPr>
      <w:b/>
      <w:bCs/>
      <w:sz w:val="24"/>
    </w:rPr>
  </w:style>
  <w:style w:type="paragraph" w:styleId="Heading7">
    <w:name w:val="heading 7"/>
    <w:basedOn w:val="Normal"/>
    <w:next w:val="Normal"/>
    <w:qFormat/>
    <w:rsid w:val="001A6185"/>
    <w:pPr>
      <w:keepNext/>
      <w:outlineLvl w:val="6"/>
    </w:pPr>
    <w:rPr>
      <w:b/>
      <w:bCs/>
    </w:rPr>
  </w:style>
  <w:style w:type="paragraph" w:styleId="Heading8">
    <w:name w:val="heading 8"/>
    <w:basedOn w:val="Normal"/>
    <w:next w:val="Normal"/>
    <w:qFormat/>
    <w:rsid w:val="001A6185"/>
    <w:pPr>
      <w:keepNext/>
      <w:tabs>
        <w:tab w:val="left" w:pos="1134"/>
      </w:tabs>
      <w:ind w:left="2880" w:right="360" w:hanging="2880"/>
      <w:jc w:val="both"/>
      <w:outlineLvl w:val="7"/>
    </w:pPr>
    <w:rPr>
      <w:b/>
      <w:bCs/>
      <w:sz w:val="24"/>
    </w:rPr>
  </w:style>
  <w:style w:type="paragraph" w:styleId="Heading9">
    <w:name w:val="heading 9"/>
    <w:basedOn w:val="Normal"/>
    <w:next w:val="Normal"/>
    <w:qFormat/>
    <w:rsid w:val="001A6185"/>
    <w:pPr>
      <w:keepNext/>
      <w:tabs>
        <w:tab w:val="left" w:pos="1134"/>
        <w:tab w:val="left" w:pos="2835"/>
      </w:tabs>
      <w:ind w:left="2835" w:hanging="2835"/>
      <w:jc w:val="both"/>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A6185"/>
    <w:rPr>
      <w:b/>
      <w:sz w:val="24"/>
    </w:rPr>
  </w:style>
  <w:style w:type="paragraph" w:styleId="BodyTextIndent">
    <w:name w:val="Body Text Indent"/>
    <w:basedOn w:val="Normal"/>
    <w:semiHidden/>
    <w:rsid w:val="001A6185"/>
    <w:pPr>
      <w:tabs>
        <w:tab w:val="left" w:pos="1440"/>
      </w:tabs>
      <w:ind w:left="2880" w:hanging="2880"/>
    </w:pPr>
    <w:rPr>
      <w:sz w:val="24"/>
    </w:rPr>
  </w:style>
  <w:style w:type="paragraph" w:styleId="BodyTextIndent2">
    <w:name w:val="Body Text Indent 2"/>
    <w:basedOn w:val="Normal"/>
    <w:semiHidden/>
    <w:rsid w:val="001A6185"/>
    <w:pPr>
      <w:ind w:left="2160" w:hanging="2160"/>
    </w:pPr>
    <w:rPr>
      <w:sz w:val="24"/>
    </w:rPr>
  </w:style>
  <w:style w:type="paragraph" w:styleId="BlockText">
    <w:name w:val="Block Text"/>
    <w:basedOn w:val="Normal"/>
    <w:semiHidden/>
    <w:rsid w:val="001A6185"/>
    <w:pPr>
      <w:ind w:left="2880" w:right="180" w:hanging="1440"/>
      <w:jc w:val="both"/>
    </w:pPr>
    <w:rPr>
      <w:sz w:val="24"/>
    </w:rPr>
  </w:style>
  <w:style w:type="paragraph" w:styleId="BodyText2">
    <w:name w:val="Body Text 2"/>
    <w:basedOn w:val="Normal"/>
    <w:semiHidden/>
    <w:rsid w:val="001A6185"/>
    <w:pPr>
      <w:ind w:right="180"/>
      <w:jc w:val="both"/>
    </w:pPr>
    <w:rPr>
      <w:b/>
      <w:sz w:val="24"/>
    </w:rPr>
  </w:style>
  <w:style w:type="paragraph" w:styleId="BodyTextIndent3">
    <w:name w:val="Body Text Indent 3"/>
    <w:basedOn w:val="Normal"/>
    <w:semiHidden/>
    <w:rsid w:val="001A6185"/>
    <w:pPr>
      <w:tabs>
        <w:tab w:val="left" w:pos="1440"/>
        <w:tab w:val="left" w:pos="2520"/>
      </w:tabs>
      <w:ind w:left="2880" w:hanging="2880"/>
      <w:jc w:val="both"/>
    </w:pPr>
    <w:rPr>
      <w:sz w:val="24"/>
    </w:rPr>
  </w:style>
  <w:style w:type="paragraph" w:styleId="BalloonText">
    <w:name w:val="Balloon Text"/>
    <w:basedOn w:val="Normal"/>
    <w:semiHidden/>
    <w:rsid w:val="001A6185"/>
    <w:rPr>
      <w:rFonts w:ascii="Tahoma" w:hAnsi="Tahoma" w:cs="Courier New"/>
      <w:sz w:val="16"/>
      <w:szCs w:val="16"/>
    </w:rPr>
  </w:style>
  <w:style w:type="paragraph" w:styleId="Footer">
    <w:name w:val="footer"/>
    <w:basedOn w:val="Normal"/>
    <w:link w:val="FooterChar"/>
    <w:uiPriority w:val="99"/>
    <w:rsid w:val="001A6185"/>
    <w:pPr>
      <w:tabs>
        <w:tab w:val="center" w:pos="4320"/>
        <w:tab w:val="right" w:pos="8640"/>
      </w:tabs>
    </w:pPr>
  </w:style>
  <w:style w:type="character" w:styleId="PageNumber">
    <w:name w:val="page number"/>
    <w:basedOn w:val="DefaultParagraphFont"/>
    <w:semiHidden/>
    <w:rsid w:val="001A6185"/>
  </w:style>
  <w:style w:type="paragraph" w:styleId="BodyText3">
    <w:name w:val="Body Text 3"/>
    <w:basedOn w:val="Normal"/>
    <w:semiHidden/>
    <w:rsid w:val="001A6185"/>
    <w:pPr>
      <w:tabs>
        <w:tab w:val="left" w:pos="1134"/>
        <w:tab w:val="left" w:pos="2835"/>
      </w:tabs>
      <w:ind w:right="360"/>
      <w:jc w:val="both"/>
    </w:pPr>
    <w:rPr>
      <w:i/>
      <w:iCs/>
      <w:sz w:val="24"/>
    </w:rPr>
  </w:style>
  <w:style w:type="paragraph" w:styleId="Header">
    <w:name w:val="header"/>
    <w:basedOn w:val="Normal"/>
    <w:link w:val="HeaderChar"/>
    <w:semiHidden/>
    <w:rsid w:val="001A6185"/>
    <w:pPr>
      <w:tabs>
        <w:tab w:val="center" w:pos="4153"/>
        <w:tab w:val="right" w:pos="8306"/>
      </w:tabs>
    </w:pPr>
  </w:style>
  <w:style w:type="character" w:customStyle="1" w:styleId="BodyTextChar">
    <w:name w:val="Body Text Char"/>
    <w:basedOn w:val="DefaultParagraphFont"/>
    <w:semiHidden/>
    <w:rsid w:val="001A6185"/>
    <w:rPr>
      <w:b/>
      <w:sz w:val="24"/>
      <w:lang w:eastAsia="en-US"/>
    </w:rPr>
  </w:style>
  <w:style w:type="paragraph" w:styleId="NormalWeb">
    <w:name w:val="Normal (Web)"/>
    <w:basedOn w:val="Normal"/>
    <w:unhideWhenUsed/>
    <w:rsid w:val="001A6185"/>
    <w:rPr>
      <w:sz w:val="24"/>
      <w:szCs w:val="24"/>
      <w:lang w:eastAsia="en-GB"/>
    </w:rPr>
  </w:style>
  <w:style w:type="paragraph" w:styleId="NoSpacing">
    <w:name w:val="No Spacing"/>
    <w:uiPriority w:val="1"/>
    <w:qFormat/>
    <w:rsid w:val="001A6185"/>
    <w:rPr>
      <w:rFonts w:ascii="Calibri" w:eastAsia="Calibri" w:hAnsi="Calibri"/>
      <w:sz w:val="22"/>
      <w:szCs w:val="22"/>
      <w:lang w:eastAsia="en-US"/>
    </w:rPr>
  </w:style>
  <w:style w:type="character" w:styleId="Hyperlink">
    <w:name w:val="Hyperlink"/>
    <w:basedOn w:val="DefaultParagraphFont"/>
    <w:semiHidden/>
    <w:unhideWhenUsed/>
    <w:rsid w:val="001A6185"/>
    <w:rPr>
      <w:color w:val="0000FF"/>
      <w:u w:val="single"/>
    </w:rPr>
  </w:style>
  <w:style w:type="character" w:customStyle="1" w:styleId="Style13">
    <w:name w:val="Style13"/>
    <w:rsid w:val="001A6185"/>
    <w:rPr>
      <w:i/>
    </w:rPr>
  </w:style>
  <w:style w:type="character" w:customStyle="1" w:styleId="Style12">
    <w:name w:val="Style12"/>
    <w:rsid w:val="001A6185"/>
    <w:rPr>
      <w:color w:val="0000FF"/>
      <w:u w:val="single"/>
    </w:rPr>
  </w:style>
  <w:style w:type="character" w:customStyle="1" w:styleId="HeaderChar">
    <w:name w:val="Header Char"/>
    <w:basedOn w:val="DefaultParagraphFont"/>
    <w:link w:val="Header"/>
    <w:semiHidden/>
    <w:rsid w:val="00BA4D54"/>
    <w:rPr>
      <w:lang w:eastAsia="en-US"/>
    </w:rPr>
  </w:style>
  <w:style w:type="character" w:customStyle="1" w:styleId="FooterChar">
    <w:name w:val="Footer Char"/>
    <w:basedOn w:val="DefaultParagraphFont"/>
    <w:link w:val="Footer"/>
    <w:uiPriority w:val="99"/>
    <w:rsid w:val="00C7600C"/>
    <w:rPr>
      <w:lang w:eastAsia="en-US"/>
    </w:rPr>
  </w:style>
  <w:style w:type="paragraph" w:styleId="ListParagraph">
    <w:name w:val="List Paragraph"/>
    <w:basedOn w:val="Normal"/>
    <w:uiPriority w:val="34"/>
    <w:qFormat/>
    <w:rsid w:val="00E0600A"/>
    <w:pPr>
      <w:ind w:left="720"/>
      <w:contextualSpacing/>
    </w:pPr>
  </w:style>
  <w:style w:type="table" w:styleId="TableGrid">
    <w:name w:val="Table Grid"/>
    <w:basedOn w:val="TableNormal"/>
    <w:uiPriority w:val="59"/>
    <w:rsid w:val="00AF1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24971">
      <w:bodyDiv w:val="1"/>
      <w:marLeft w:val="0"/>
      <w:marRight w:val="0"/>
      <w:marTop w:val="0"/>
      <w:marBottom w:val="0"/>
      <w:divBdr>
        <w:top w:val="none" w:sz="0" w:space="0" w:color="auto"/>
        <w:left w:val="none" w:sz="0" w:space="0" w:color="auto"/>
        <w:bottom w:val="none" w:sz="0" w:space="0" w:color="auto"/>
        <w:right w:val="none" w:sz="0" w:space="0" w:color="auto"/>
      </w:divBdr>
    </w:div>
    <w:div w:id="648561394">
      <w:bodyDiv w:val="1"/>
      <w:marLeft w:val="0"/>
      <w:marRight w:val="0"/>
      <w:marTop w:val="0"/>
      <w:marBottom w:val="0"/>
      <w:divBdr>
        <w:top w:val="none" w:sz="0" w:space="0" w:color="auto"/>
        <w:left w:val="none" w:sz="0" w:space="0" w:color="auto"/>
        <w:bottom w:val="none" w:sz="0" w:space="0" w:color="auto"/>
        <w:right w:val="none" w:sz="0" w:space="0" w:color="auto"/>
      </w:divBdr>
    </w:div>
    <w:div w:id="10236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F52BB-239E-461B-A9D5-616B89B4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3306</Words>
  <Characters>18848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Caledonian Audit Committee</vt:lpstr>
    </vt:vector>
  </TitlesOfParts>
  <Company>GCU</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Caledonian Audit Committee</dc:title>
  <dc:creator>The Roy Family</dc:creator>
  <cp:lastModifiedBy>setup</cp:lastModifiedBy>
  <cp:revision>2</cp:revision>
  <cp:lastPrinted>2015-01-21T11:53:00Z</cp:lastPrinted>
  <dcterms:created xsi:type="dcterms:W3CDTF">2015-08-10T11:53:00Z</dcterms:created>
  <dcterms:modified xsi:type="dcterms:W3CDTF">2015-08-10T11:53:00Z</dcterms:modified>
</cp:coreProperties>
</file>