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41" w:rsidRDefault="00957A41" w:rsidP="00B9660D">
      <w:pPr>
        <w:jc w:val="center"/>
        <w:rPr>
          <w:rFonts w:cstheme="minorHAnsi"/>
          <w:b/>
          <w:color w:val="548DD4"/>
          <w:sz w:val="28"/>
          <w:szCs w:val="28"/>
        </w:rPr>
      </w:pPr>
      <w:bookmarkStart w:id="0" w:name="_GoBack"/>
      <w:bookmarkEnd w:id="0"/>
    </w:p>
    <w:p w:rsidR="00A07DB4" w:rsidRPr="007A3C72" w:rsidRDefault="00E71336" w:rsidP="00B9660D">
      <w:pPr>
        <w:jc w:val="center"/>
        <w:rPr>
          <w:rFonts w:cstheme="minorHAnsi"/>
          <w:b/>
          <w:color w:val="548DD4"/>
          <w:sz w:val="28"/>
          <w:szCs w:val="28"/>
        </w:rPr>
      </w:pPr>
      <w:r w:rsidRPr="007A3C72">
        <w:rPr>
          <w:rFonts w:cstheme="minorHAnsi"/>
          <w:b/>
          <w:color w:val="548DD4"/>
          <w:sz w:val="28"/>
          <w:szCs w:val="28"/>
        </w:rPr>
        <w:t xml:space="preserve">COURT BULLETIN: </w:t>
      </w:r>
      <w:r w:rsidR="00A6345D" w:rsidRPr="007A3C72">
        <w:rPr>
          <w:rFonts w:cstheme="minorHAnsi"/>
          <w:b/>
          <w:color w:val="548DD4"/>
          <w:sz w:val="28"/>
          <w:szCs w:val="28"/>
        </w:rPr>
        <w:t>1 NOVEMBER</w:t>
      </w:r>
      <w:r w:rsidRPr="007A3C72">
        <w:rPr>
          <w:rFonts w:cstheme="minorHAnsi"/>
          <w:b/>
          <w:color w:val="548DD4"/>
          <w:sz w:val="28"/>
          <w:szCs w:val="28"/>
        </w:rPr>
        <w:t xml:space="preserve"> 2012</w:t>
      </w:r>
    </w:p>
    <w:p w:rsidR="009D7E3D" w:rsidRPr="007A3C72" w:rsidRDefault="009D7E3D" w:rsidP="00101CE0">
      <w:pPr>
        <w:jc w:val="both"/>
        <w:rPr>
          <w:rFonts w:cstheme="minorHAnsi"/>
        </w:rPr>
      </w:pPr>
      <w:r w:rsidRPr="007A3C72">
        <w:rPr>
          <w:rFonts w:cstheme="minorHAnsi"/>
        </w:rPr>
        <w:t>Dear Colleagues</w:t>
      </w:r>
    </w:p>
    <w:p w:rsidR="009D7E3D" w:rsidRPr="007A3C72" w:rsidRDefault="00A07DB4" w:rsidP="00101CE0">
      <w:pPr>
        <w:jc w:val="both"/>
        <w:rPr>
          <w:rFonts w:cstheme="minorHAnsi"/>
        </w:rPr>
      </w:pPr>
      <w:r w:rsidRPr="007A3C72">
        <w:rPr>
          <w:rFonts w:cstheme="minorHAnsi"/>
        </w:rPr>
        <w:t xml:space="preserve">This is the </w:t>
      </w:r>
      <w:r w:rsidR="00A6345D" w:rsidRPr="007A3C72">
        <w:rPr>
          <w:rFonts w:cstheme="minorHAnsi"/>
        </w:rPr>
        <w:t>fourth</w:t>
      </w:r>
      <w:r w:rsidR="00C56096" w:rsidRPr="007A3C72">
        <w:rPr>
          <w:rFonts w:cstheme="minorHAnsi"/>
        </w:rPr>
        <w:t xml:space="preserve"> </w:t>
      </w:r>
      <w:r w:rsidRPr="007A3C72">
        <w:rPr>
          <w:rFonts w:cstheme="minorHAnsi"/>
        </w:rPr>
        <w:t xml:space="preserve">in a series of </w:t>
      </w:r>
      <w:r w:rsidR="00772EB1" w:rsidRPr="007A3C72">
        <w:rPr>
          <w:rFonts w:cstheme="minorHAnsi"/>
        </w:rPr>
        <w:t>bulletins on</w:t>
      </w:r>
      <w:r w:rsidRPr="007A3C72">
        <w:rPr>
          <w:rFonts w:cstheme="minorHAnsi"/>
        </w:rPr>
        <w:t xml:space="preserve"> University Court meetings, which will be </w:t>
      </w:r>
      <w:r w:rsidR="00772EB1" w:rsidRPr="007A3C72">
        <w:rPr>
          <w:rFonts w:cstheme="minorHAnsi"/>
        </w:rPr>
        <w:t xml:space="preserve">available on the University website </w:t>
      </w:r>
      <w:r w:rsidRPr="007A3C72">
        <w:rPr>
          <w:rFonts w:cstheme="minorHAnsi"/>
        </w:rPr>
        <w:t>after each meeting. The summaries are not a formal record of the Court meeting</w:t>
      </w:r>
      <w:r w:rsidR="00C32AA9" w:rsidRPr="007A3C72">
        <w:rPr>
          <w:rFonts w:cstheme="minorHAnsi"/>
        </w:rPr>
        <w:t>.</w:t>
      </w:r>
      <w:r w:rsidRPr="007A3C72">
        <w:rPr>
          <w:rFonts w:cstheme="minorHAnsi"/>
        </w:rPr>
        <w:t xml:space="preserve">  </w:t>
      </w:r>
      <w:r w:rsidR="009D7E3D" w:rsidRPr="007A3C72">
        <w:rPr>
          <w:rFonts w:cstheme="minorHAnsi"/>
        </w:rPr>
        <w:t xml:space="preserve"> </w:t>
      </w:r>
    </w:p>
    <w:p w:rsidR="00A07DB4" w:rsidRPr="007A3C72" w:rsidRDefault="009D7E3D" w:rsidP="00101CE0">
      <w:pPr>
        <w:jc w:val="both"/>
        <w:rPr>
          <w:rFonts w:cstheme="minorHAnsi"/>
        </w:rPr>
      </w:pPr>
      <w:r w:rsidRPr="007A3C72">
        <w:rPr>
          <w:rFonts w:cstheme="minorHAnsi"/>
        </w:rPr>
        <w:t xml:space="preserve">The University Court held its </w:t>
      </w:r>
      <w:r w:rsidR="00A6345D" w:rsidRPr="007A3C72">
        <w:rPr>
          <w:rFonts w:cstheme="minorHAnsi"/>
        </w:rPr>
        <w:t>second</w:t>
      </w:r>
      <w:r w:rsidR="00C56096" w:rsidRPr="007A3C72">
        <w:rPr>
          <w:rFonts w:cstheme="minorHAnsi"/>
        </w:rPr>
        <w:t xml:space="preserve"> </w:t>
      </w:r>
      <w:r w:rsidRPr="007A3C72">
        <w:rPr>
          <w:rFonts w:cstheme="minorHAnsi"/>
        </w:rPr>
        <w:t>meeting of session</w:t>
      </w:r>
      <w:r w:rsidR="00CB466A" w:rsidRPr="007A3C72">
        <w:rPr>
          <w:rFonts w:cstheme="minorHAnsi"/>
        </w:rPr>
        <w:t xml:space="preserve"> 2012/2013</w:t>
      </w:r>
      <w:r w:rsidRPr="007A3C72">
        <w:rPr>
          <w:rFonts w:cstheme="minorHAnsi"/>
        </w:rPr>
        <w:t xml:space="preserve"> on</w:t>
      </w:r>
      <w:r w:rsidR="00A6345D" w:rsidRPr="007A3C72">
        <w:rPr>
          <w:rFonts w:cstheme="minorHAnsi"/>
        </w:rPr>
        <w:t xml:space="preserve"> 1 November </w:t>
      </w:r>
      <w:r w:rsidRPr="007A3C72">
        <w:rPr>
          <w:rFonts w:cstheme="minorHAnsi"/>
        </w:rPr>
        <w:t xml:space="preserve">2012. </w:t>
      </w:r>
      <w:r w:rsidR="00A07DB4" w:rsidRPr="007A3C72">
        <w:rPr>
          <w:rFonts w:cstheme="minorHAnsi"/>
        </w:rPr>
        <w:t xml:space="preserve">The main </w:t>
      </w:r>
      <w:r w:rsidRPr="007A3C72">
        <w:rPr>
          <w:rFonts w:cstheme="minorHAnsi"/>
        </w:rPr>
        <w:t>issues</w:t>
      </w:r>
      <w:r w:rsidR="00A07DB4" w:rsidRPr="007A3C72">
        <w:rPr>
          <w:rFonts w:cstheme="minorHAnsi"/>
        </w:rPr>
        <w:t xml:space="preserve"> discussed were as follows</w:t>
      </w:r>
      <w:r w:rsidRPr="007A3C72">
        <w:rPr>
          <w:rFonts w:cstheme="minorHAnsi"/>
        </w:rPr>
        <w:t>:</w:t>
      </w:r>
    </w:p>
    <w:p w:rsidR="00684052" w:rsidRPr="007A3C72" w:rsidRDefault="00B37458" w:rsidP="00684052">
      <w:pPr>
        <w:jc w:val="both"/>
        <w:rPr>
          <w:rFonts w:eastAsia="Calibri" w:cstheme="minorHAnsi"/>
          <w:b/>
          <w:color w:val="548DD4" w:themeColor="text2" w:themeTint="99"/>
          <w:sz w:val="24"/>
          <w:szCs w:val="24"/>
        </w:rPr>
      </w:pPr>
      <w:r w:rsidRPr="007A3C72">
        <w:rPr>
          <w:rFonts w:eastAsia="Calibri" w:cstheme="minorHAnsi"/>
          <w:b/>
          <w:color w:val="548DD4" w:themeColor="text2" w:themeTint="99"/>
          <w:sz w:val="24"/>
          <w:szCs w:val="24"/>
        </w:rPr>
        <w:t xml:space="preserve">University Draft Annual </w:t>
      </w:r>
      <w:r w:rsidR="00194ED7" w:rsidRPr="007A3C72">
        <w:rPr>
          <w:rFonts w:eastAsia="Calibri" w:cstheme="minorHAnsi"/>
          <w:b/>
          <w:color w:val="548DD4" w:themeColor="text2" w:themeTint="99"/>
          <w:sz w:val="24"/>
          <w:szCs w:val="24"/>
        </w:rPr>
        <w:t xml:space="preserve">Financial </w:t>
      </w:r>
      <w:r w:rsidRPr="007A3C72">
        <w:rPr>
          <w:rFonts w:eastAsia="Calibri" w:cstheme="minorHAnsi"/>
          <w:b/>
          <w:color w:val="548DD4" w:themeColor="text2" w:themeTint="99"/>
          <w:sz w:val="24"/>
          <w:szCs w:val="24"/>
        </w:rPr>
        <w:t>Statements</w:t>
      </w:r>
    </w:p>
    <w:p w:rsidR="00194ED7" w:rsidRPr="007A3C72" w:rsidRDefault="00AE5275" w:rsidP="00561CFF">
      <w:pPr>
        <w:contextualSpacing/>
        <w:jc w:val="both"/>
        <w:rPr>
          <w:rFonts w:cstheme="minorHAnsi"/>
        </w:rPr>
      </w:pPr>
      <w:r w:rsidRPr="007A3C72">
        <w:rPr>
          <w:rFonts w:cstheme="minorHAnsi"/>
        </w:rPr>
        <w:t>T</w:t>
      </w:r>
      <w:r w:rsidR="00684052" w:rsidRPr="007A3C72">
        <w:rPr>
          <w:rFonts w:cstheme="minorHAnsi"/>
        </w:rPr>
        <w:t xml:space="preserve">he University Court </w:t>
      </w:r>
      <w:r w:rsidR="004D7503">
        <w:rPr>
          <w:rFonts w:cstheme="minorHAnsi"/>
        </w:rPr>
        <w:t>approved</w:t>
      </w:r>
      <w:r w:rsidR="00684052" w:rsidRPr="007A3C72">
        <w:rPr>
          <w:rFonts w:cstheme="minorHAnsi"/>
        </w:rPr>
        <w:t xml:space="preserve"> the</w:t>
      </w:r>
      <w:r w:rsidR="0051152E">
        <w:rPr>
          <w:rFonts w:cstheme="minorHAnsi"/>
        </w:rPr>
        <w:t xml:space="preserve"> consolidated</w:t>
      </w:r>
      <w:r w:rsidR="00684052" w:rsidRPr="007A3C72">
        <w:rPr>
          <w:rFonts w:cstheme="minorHAnsi"/>
        </w:rPr>
        <w:t xml:space="preserve"> Annual Financial Statements for the University</w:t>
      </w:r>
      <w:r w:rsidR="00194ED7" w:rsidRPr="007A3C72">
        <w:rPr>
          <w:rFonts w:cstheme="minorHAnsi"/>
        </w:rPr>
        <w:t xml:space="preserve"> </w:t>
      </w:r>
      <w:r w:rsidR="00684052" w:rsidRPr="007A3C72">
        <w:rPr>
          <w:rFonts w:cstheme="minorHAnsi"/>
        </w:rPr>
        <w:t>for the year ended 31 July 2012</w:t>
      </w:r>
      <w:r w:rsidR="00194ED7" w:rsidRPr="007A3C72">
        <w:rPr>
          <w:rFonts w:cstheme="minorHAnsi"/>
        </w:rPr>
        <w:t xml:space="preserve">, noting that </w:t>
      </w:r>
      <w:r w:rsidR="004D7503">
        <w:rPr>
          <w:rFonts w:cstheme="minorHAnsi"/>
        </w:rPr>
        <w:t>the</w:t>
      </w:r>
      <w:r w:rsidR="00194ED7" w:rsidRPr="007A3C72">
        <w:rPr>
          <w:rFonts w:cstheme="minorHAnsi"/>
        </w:rPr>
        <w:t xml:space="preserve"> Audit Committee and Finance &amp; General Purposes Committee had </w:t>
      </w:r>
      <w:r w:rsidR="004D7503">
        <w:rPr>
          <w:rFonts w:cstheme="minorHAnsi"/>
        </w:rPr>
        <w:t xml:space="preserve">reviewed </w:t>
      </w:r>
      <w:r w:rsidR="00194ED7" w:rsidRPr="007A3C72">
        <w:rPr>
          <w:rFonts w:cstheme="minorHAnsi"/>
        </w:rPr>
        <w:t>the draft</w:t>
      </w:r>
      <w:r w:rsidR="004D7503">
        <w:rPr>
          <w:rFonts w:cstheme="minorHAnsi"/>
        </w:rPr>
        <w:t xml:space="preserve"> financial statements </w:t>
      </w:r>
      <w:r w:rsidR="00194ED7" w:rsidRPr="007A3C72">
        <w:rPr>
          <w:rFonts w:cstheme="minorHAnsi"/>
        </w:rPr>
        <w:t xml:space="preserve">and </w:t>
      </w:r>
      <w:r w:rsidR="004D7503">
        <w:rPr>
          <w:rFonts w:cstheme="minorHAnsi"/>
        </w:rPr>
        <w:t xml:space="preserve">had </w:t>
      </w:r>
      <w:r w:rsidR="00194ED7" w:rsidRPr="007A3C72">
        <w:rPr>
          <w:rFonts w:cstheme="minorHAnsi"/>
        </w:rPr>
        <w:t>recommended</w:t>
      </w:r>
      <w:r w:rsidR="004D7503">
        <w:rPr>
          <w:rFonts w:cstheme="minorHAnsi"/>
        </w:rPr>
        <w:t xml:space="preserve"> that these were submitted </w:t>
      </w:r>
      <w:r w:rsidR="00194ED7" w:rsidRPr="007A3C72">
        <w:rPr>
          <w:rFonts w:cstheme="minorHAnsi"/>
        </w:rPr>
        <w:t>to Court for approval.</w:t>
      </w:r>
    </w:p>
    <w:p w:rsidR="00194ED7" w:rsidRDefault="00194ED7" w:rsidP="00561CFF">
      <w:pPr>
        <w:contextualSpacing/>
        <w:jc w:val="both"/>
        <w:rPr>
          <w:rFonts w:cstheme="minorHAnsi"/>
        </w:rPr>
      </w:pPr>
    </w:p>
    <w:p w:rsidR="0051152E" w:rsidRDefault="0051152E" w:rsidP="00561CFF">
      <w:pPr>
        <w:contextualSpacing/>
        <w:jc w:val="both"/>
        <w:rPr>
          <w:rFonts w:cstheme="minorHAnsi"/>
        </w:rPr>
      </w:pPr>
      <w:r>
        <w:rPr>
          <w:rFonts w:cstheme="minorHAnsi"/>
        </w:rPr>
        <w:t>Court noted t</w:t>
      </w:r>
      <w:r w:rsidRPr="001159BB">
        <w:rPr>
          <w:rFonts w:cstheme="minorHAnsi"/>
        </w:rPr>
        <w:t>he surplus of £2m was in line with expectation</w:t>
      </w:r>
      <w:r w:rsidR="003E2A8D">
        <w:rPr>
          <w:rFonts w:cstheme="minorHAnsi"/>
        </w:rPr>
        <w:t>s</w:t>
      </w:r>
      <w:r w:rsidR="003541C5">
        <w:rPr>
          <w:rFonts w:cstheme="minorHAnsi"/>
        </w:rPr>
        <w:t>.</w:t>
      </w:r>
    </w:p>
    <w:p w:rsidR="0051152E" w:rsidRPr="007A3C72" w:rsidRDefault="0051152E" w:rsidP="00561CFF">
      <w:pPr>
        <w:contextualSpacing/>
        <w:jc w:val="both"/>
        <w:rPr>
          <w:rFonts w:cstheme="minorHAnsi"/>
        </w:rPr>
      </w:pPr>
    </w:p>
    <w:p w:rsidR="00B37458" w:rsidRPr="007A3C72" w:rsidRDefault="00B37458" w:rsidP="00561CFF">
      <w:pPr>
        <w:contextualSpacing/>
        <w:jc w:val="both"/>
        <w:rPr>
          <w:rFonts w:cstheme="minorHAnsi"/>
        </w:rPr>
      </w:pPr>
      <w:r w:rsidRPr="007A3C72">
        <w:rPr>
          <w:rFonts w:cstheme="minorHAnsi"/>
        </w:rPr>
        <w:t>Court noted that the annual financial statements for the University’s subsidiary companies had been approved by the Board of directors of the respective companies</w:t>
      </w:r>
    </w:p>
    <w:p w:rsidR="007A3C72" w:rsidRDefault="007A3C72" w:rsidP="007A3C72">
      <w:pPr>
        <w:pStyle w:val="NoSpacing"/>
      </w:pPr>
    </w:p>
    <w:p w:rsidR="000F6E4A" w:rsidRPr="007A3C72" w:rsidRDefault="00B37458" w:rsidP="00A86AF2">
      <w:pPr>
        <w:rPr>
          <w:rFonts w:cstheme="minorHAnsi"/>
          <w:b/>
          <w:color w:val="548DD4" w:themeColor="text2" w:themeTint="99"/>
          <w:sz w:val="24"/>
          <w:szCs w:val="24"/>
        </w:rPr>
      </w:pPr>
      <w:r w:rsidRPr="007A3C72">
        <w:rPr>
          <w:rFonts w:cstheme="minorHAnsi"/>
          <w:b/>
          <w:color w:val="548DD4" w:themeColor="text2" w:themeTint="99"/>
          <w:sz w:val="24"/>
          <w:szCs w:val="24"/>
        </w:rPr>
        <w:t>Revised GCU Corporate Risk Register 2012</w:t>
      </w:r>
    </w:p>
    <w:p w:rsidR="00015E52" w:rsidRDefault="00132290" w:rsidP="009C0EDB">
      <w:pPr>
        <w:autoSpaceDE w:val="0"/>
        <w:autoSpaceDN w:val="0"/>
        <w:adjustRightInd w:val="0"/>
        <w:spacing w:after="0" w:line="240" w:lineRule="auto"/>
        <w:jc w:val="both"/>
      </w:pPr>
      <w:r w:rsidRPr="007A3C72">
        <w:t>Court discussed</w:t>
      </w:r>
      <w:r w:rsidR="00015E52">
        <w:t xml:space="preserve"> and approved</w:t>
      </w:r>
      <w:r w:rsidRPr="007A3C72">
        <w:t xml:space="preserve"> the revised Corporate Risk </w:t>
      </w:r>
      <w:r w:rsidRPr="00F40B25">
        <w:t>Register</w:t>
      </w:r>
      <w:r w:rsidR="003541C5">
        <w:t>.</w:t>
      </w:r>
    </w:p>
    <w:p w:rsidR="003541C5" w:rsidRPr="005A1444" w:rsidRDefault="003541C5" w:rsidP="009C0EDB">
      <w:pPr>
        <w:autoSpaceDE w:val="0"/>
        <w:autoSpaceDN w:val="0"/>
        <w:adjustRightInd w:val="0"/>
        <w:spacing w:after="0" w:line="240" w:lineRule="auto"/>
        <w:jc w:val="both"/>
      </w:pPr>
    </w:p>
    <w:p w:rsidR="009C0EDB" w:rsidRPr="005A1444" w:rsidRDefault="009C0EDB" w:rsidP="009C0EDB">
      <w:pPr>
        <w:autoSpaceDE w:val="0"/>
        <w:autoSpaceDN w:val="0"/>
        <w:adjustRightInd w:val="0"/>
        <w:spacing w:after="0" w:line="240" w:lineRule="auto"/>
        <w:jc w:val="both"/>
        <w:rPr>
          <w:rFonts w:ascii="Calibri" w:hAnsi="Calibri" w:cs="Calibri"/>
        </w:rPr>
      </w:pPr>
      <w:r w:rsidRPr="005A1444">
        <w:rPr>
          <w:rFonts w:ascii="Calibri" w:hAnsi="Calibri" w:cs="Calibri"/>
        </w:rPr>
        <w:t xml:space="preserve">The revised Corporate </w:t>
      </w:r>
      <w:r w:rsidR="00015E52" w:rsidRPr="005A1444">
        <w:rPr>
          <w:rFonts w:ascii="Calibri" w:hAnsi="Calibri" w:cs="Calibri"/>
        </w:rPr>
        <w:t>R</w:t>
      </w:r>
      <w:r w:rsidRPr="005A1444">
        <w:rPr>
          <w:rFonts w:ascii="Calibri" w:hAnsi="Calibri" w:cs="Calibri"/>
        </w:rPr>
        <w:t>isk Register and risk tolerances had been considered by the Audit Committee and recommended to Court for approval.</w:t>
      </w:r>
    </w:p>
    <w:p w:rsidR="007342BC" w:rsidRPr="005A1444" w:rsidRDefault="007342BC" w:rsidP="009C0EDB">
      <w:pPr>
        <w:autoSpaceDE w:val="0"/>
        <w:autoSpaceDN w:val="0"/>
        <w:adjustRightInd w:val="0"/>
        <w:spacing w:after="0" w:line="240" w:lineRule="auto"/>
        <w:jc w:val="both"/>
      </w:pPr>
    </w:p>
    <w:p w:rsidR="006301AE" w:rsidRPr="007A3C72" w:rsidRDefault="006301AE" w:rsidP="00E102A9">
      <w:pPr>
        <w:pStyle w:val="NoSpacing"/>
        <w:jc w:val="both"/>
        <w:rPr>
          <w:rFonts w:asciiTheme="minorHAnsi" w:hAnsiTheme="minorHAnsi" w:cstheme="minorHAnsi"/>
          <w:b/>
          <w:color w:val="548DD4" w:themeColor="text2" w:themeTint="99"/>
          <w:sz w:val="24"/>
          <w:szCs w:val="24"/>
        </w:rPr>
      </w:pPr>
      <w:r w:rsidRPr="007A3C72">
        <w:rPr>
          <w:rFonts w:asciiTheme="minorHAnsi" w:hAnsiTheme="minorHAnsi" w:cstheme="minorHAnsi"/>
          <w:b/>
          <w:color w:val="548DD4" w:themeColor="text2" w:themeTint="99"/>
          <w:sz w:val="24"/>
          <w:szCs w:val="24"/>
        </w:rPr>
        <w:t>Annual Reports</w:t>
      </w:r>
    </w:p>
    <w:p w:rsidR="006301AE" w:rsidRPr="007A3C72" w:rsidRDefault="006301AE" w:rsidP="00E102A9">
      <w:pPr>
        <w:pStyle w:val="NoSpacing"/>
        <w:jc w:val="both"/>
        <w:rPr>
          <w:rFonts w:asciiTheme="minorHAnsi" w:hAnsiTheme="minorHAnsi" w:cstheme="minorHAnsi"/>
          <w:b/>
          <w:color w:val="548DD4" w:themeColor="text2" w:themeTint="99"/>
        </w:rPr>
      </w:pPr>
    </w:p>
    <w:p w:rsidR="006301AE" w:rsidRPr="007A3C72" w:rsidRDefault="006301AE" w:rsidP="006301AE">
      <w:pPr>
        <w:pStyle w:val="NoSpacing"/>
        <w:numPr>
          <w:ilvl w:val="0"/>
          <w:numId w:val="10"/>
        </w:numPr>
        <w:jc w:val="both"/>
        <w:rPr>
          <w:rFonts w:asciiTheme="minorHAnsi" w:hAnsiTheme="minorHAnsi" w:cstheme="minorHAnsi"/>
          <w:b/>
          <w:color w:val="548DD4" w:themeColor="text2" w:themeTint="99"/>
          <w:sz w:val="24"/>
          <w:szCs w:val="24"/>
        </w:rPr>
      </w:pPr>
      <w:r w:rsidRPr="007A3C72">
        <w:rPr>
          <w:rFonts w:asciiTheme="minorHAnsi" w:hAnsiTheme="minorHAnsi" w:cstheme="minorHAnsi"/>
          <w:b/>
          <w:color w:val="548DD4" w:themeColor="text2" w:themeTint="99"/>
          <w:sz w:val="24"/>
          <w:szCs w:val="24"/>
        </w:rPr>
        <w:t>Audit Committee Annual Report 2012</w:t>
      </w:r>
    </w:p>
    <w:p w:rsidR="006301AE" w:rsidRPr="007A3C72" w:rsidRDefault="006301AE" w:rsidP="00E102A9">
      <w:pPr>
        <w:pStyle w:val="NoSpacing"/>
        <w:jc w:val="both"/>
        <w:rPr>
          <w:rFonts w:asciiTheme="minorHAnsi" w:hAnsiTheme="minorHAnsi" w:cstheme="minorHAnsi"/>
          <w:b/>
          <w:color w:val="548DD4" w:themeColor="text2" w:themeTint="99"/>
        </w:rPr>
      </w:pPr>
    </w:p>
    <w:p w:rsidR="006301AE" w:rsidRPr="007A3C72" w:rsidRDefault="006301AE" w:rsidP="006301AE">
      <w:pPr>
        <w:tabs>
          <w:tab w:val="left" w:pos="567"/>
        </w:tabs>
        <w:jc w:val="both"/>
        <w:rPr>
          <w:rFonts w:cstheme="minorHAnsi"/>
        </w:rPr>
      </w:pPr>
      <w:r w:rsidRPr="007A3C72">
        <w:rPr>
          <w:rFonts w:cstheme="minorHAnsi"/>
        </w:rPr>
        <w:t>Court approved the Audit Committee Annual Report covering the work undertaken by the Committee in its fulfilment of terms of reference and compliance with Scottish Funding Council requirements for the year to 31</w:t>
      </w:r>
      <w:r w:rsidRPr="007A3C72">
        <w:rPr>
          <w:rFonts w:cstheme="minorHAnsi"/>
          <w:vertAlign w:val="superscript"/>
        </w:rPr>
        <w:t>st</w:t>
      </w:r>
      <w:r w:rsidRPr="007A3C72">
        <w:rPr>
          <w:rFonts w:cstheme="minorHAnsi"/>
        </w:rPr>
        <w:t xml:space="preserve"> July 2012</w:t>
      </w:r>
    </w:p>
    <w:p w:rsidR="006301AE" w:rsidRPr="007A3C72" w:rsidRDefault="006301AE" w:rsidP="005E02BD">
      <w:pPr>
        <w:pStyle w:val="NoSpacing"/>
        <w:numPr>
          <w:ilvl w:val="0"/>
          <w:numId w:val="10"/>
        </w:numPr>
        <w:rPr>
          <w:rFonts w:asciiTheme="minorHAnsi" w:hAnsiTheme="minorHAnsi" w:cstheme="minorHAnsi"/>
          <w:b/>
          <w:color w:val="548DD4" w:themeColor="text2" w:themeTint="99"/>
          <w:sz w:val="24"/>
          <w:szCs w:val="24"/>
        </w:rPr>
      </w:pPr>
      <w:r w:rsidRPr="007A3C72">
        <w:rPr>
          <w:rFonts w:asciiTheme="minorHAnsi" w:hAnsiTheme="minorHAnsi" w:cstheme="minorHAnsi"/>
          <w:b/>
          <w:color w:val="548DD4" w:themeColor="text2" w:themeTint="99"/>
          <w:sz w:val="24"/>
          <w:szCs w:val="24"/>
        </w:rPr>
        <w:t>Remuneration Committee Annual Report 2012</w:t>
      </w:r>
    </w:p>
    <w:p w:rsidR="006301AE" w:rsidRPr="007A3C72" w:rsidRDefault="006301AE" w:rsidP="006301AE">
      <w:pPr>
        <w:pStyle w:val="NoSpacing"/>
        <w:rPr>
          <w:rFonts w:asciiTheme="minorHAnsi" w:hAnsiTheme="minorHAnsi" w:cstheme="minorHAnsi"/>
        </w:rPr>
      </w:pPr>
    </w:p>
    <w:p w:rsidR="006301AE" w:rsidRPr="00F40B25" w:rsidRDefault="006301AE" w:rsidP="007A3C72">
      <w:pPr>
        <w:jc w:val="both"/>
        <w:rPr>
          <w:color w:val="FF0000"/>
        </w:rPr>
      </w:pPr>
      <w:r w:rsidRPr="007A3C72">
        <w:t xml:space="preserve">Court </w:t>
      </w:r>
      <w:r w:rsidR="003654E9">
        <w:t>received</w:t>
      </w:r>
      <w:r w:rsidRPr="007A3C72">
        <w:t xml:space="preserve"> the Remuneration Committee Annual</w:t>
      </w:r>
      <w:r w:rsidRPr="007A3C72">
        <w:rPr>
          <w:color w:val="0070C0"/>
        </w:rPr>
        <w:t xml:space="preserve"> </w:t>
      </w:r>
      <w:r w:rsidRPr="007A3C72">
        <w:t xml:space="preserve">Report </w:t>
      </w:r>
      <w:r w:rsidR="005E02BD" w:rsidRPr="007A3C72">
        <w:t xml:space="preserve">setting out the work undertaken </w:t>
      </w:r>
      <w:r w:rsidR="009164D5" w:rsidRPr="007A3C72">
        <w:t>during August 2011 to September 2012.</w:t>
      </w:r>
      <w:r w:rsidR="00F40B25">
        <w:t xml:space="preserve">  </w:t>
      </w:r>
    </w:p>
    <w:p w:rsidR="009164D5" w:rsidRPr="007A3C72" w:rsidRDefault="009164D5" w:rsidP="009164D5">
      <w:pPr>
        <w:pStyle w:val="NoSpacing"/>
        <w:jc w:val="both"/>
        <w:rPr>
          <w:rFonts w:asciiTheme="minorHAnsi" w:hAnsiTheme="minorHAnsi" w:cstheme="minorHAnsi"/>
        </w:rPr>
      </w:pPr>
    </w:p>
    <w:p w:rsidR="009164D5" w:rsidRPr="007A3C72" w:rsidRDefault="009164D5" w:rsidP="009164D5">
      <w:pPr>
        <w:pStyle w:val="NoSpacing"/>
        <w:numPr>
          <w:ilvl w:val="0"/>
          <w:numId w:val="10"/>
        </w:numPr>
        <w:rPr>
          <w:rFonts w:asciiTheme="minorHAnsi" w:hAnsiTheme="minorHAnsi" w:cstheme="minorHAnsi"/>
          <w:b/>
          <w:color w:val="548DD4" w:themeColor="text2" w:themeTint="99"/>
          <w:sz w:val="24"/>
          <w:szCs w:val="24"/>
        </w:rPr>
      </w:pPr>
      <w:r w:rsidRPr="007A3C72">
        <w:rPr>
          <w:rFonts w:asciiTheme="minorHAnsi" w:hAnsiTheme="minorHAnsi" w:cstheme="minorHAnsi"/>
          <w:b/>
          <w:color w:val="548DD4" w:themeColor="text2" w:themeTint="99"/>
          <w:sz w:val="24"/>
          <w:szCs w:val="24"/>
        </w:rPr>
        <w:t>Senate  Annual Report to 31 July 2012</w:t>
      </w:r>
    </w:p>
    <w:p w:rsidR="009164D5" w:rsidRPr="007A3C72" w:rsidRDefault="009164D5" w:rsidP="009164D5">
      <w:pPr>
        <w:pStyle w:val="NoSpacing"/>
        <w:jc w:val="both"/>
        <w:rPr>
          <w:rFonts w:asciiTheme="minorHAnsi" w:hAnsiTheme="minorHAnsi" w:cstheme="minorHAnsi"/>
          <w:color w:val="0070C0"/>
        </w:rPr>
      </w:pPr>
    </w:p>
    <w:p w:rsidR="00F71374" w:rsidRPr="007A3C72" w:rsidRDefault="00F71374" w:rsidP="009164D5">
      <w:pPr>
        <w:pStyle w:val="NoSpacing"/>
        <w:jc w:val="both"/>
        <w:rPr>
          <w:rFonts w:asciiTheme="minorHAnsi" w:hAnsiTheme="minorHAnsi" w:cstheme="minorHAnsi"/>
          <w:color w:val="0070C0"/>
        </w:rPr>
      </w:pPr>
      <w:r w:rsidRPr="007A3C72">
        <w:rPr>
          <w:rFonts w:asciiTheme="minorHAnsi" w:hAnsiTheme="minorHAnsi" w:cstheme="minorHAnsi"/>
        </w:rPr>
        <w:t xml:space="preserve">Court </w:t>
      </w:r>
      <w:r w:rsidR="008924AB">
        <w:rPr>
          <w:rFonts w:asciiTheme="minorHAnsi" w:hAnsiTheme="minorHAnsi" w:cstheme="minorHAnsi"/>
        </w:rPr>
        <w:t>received</w:t>
      </w:r>
      <w:r w:rsidRPr="007A3C72">
        <w:rPr>
          <w:rFonts w:asciiTheme="minorHAnsi" w:hAnsiTheme="minorHAnsi" w:cstheme="minorHAnsi"/>
        </w:rPr>
        <w:t xml:space="preserve"> an overview of the work of Senate during Session 2011/2012</w:t>
      </w:r>
    </w:p>
    <w:p w:rsidR="006301AE" w:rsidRPr="007A3C72" w:rsidRDefault="006301AE" w:rsidP="009164D5">
      <w:pPr>
        <w:pStyle w:val="NoSpacing"/>
        <w:jc w:val="both"/>
        <w:rPr>
          <w:rFonts w:asciiTheme="minorHAnsi" w:hAnsiTheme="minorHAnsi" w:cstheme="minorHAnsi"/>
        </w:rPr>
      </w:pPr>
    </w:p>
    <w:p w:rsidR="006301AE" w:rsidRPr="007A3C72" w:rsidRDefault="006301AE" w:rsidP="00E102A9">
      <w:pPr>
        <w:pStyle w:val="NoSpacing"/>
        <w:jc w:val="both"/>
        <w:rPr>
          <w:rFonts w:asciiTheme="minorHAnsi" w:hAnsiTheme="minorHAnsi" w:cstheme="minorHAnsi"/>
          <w:b/>
          <w:color w:val="548DD4" w:themeColor="text2" w:themeTint="99"/>
          <w:sz w:val="24"/>
          <w:szCs w:val="24"/>
        </w:rPr>
      </w:pPr>
      <w:r w:rsidRPr="007A3C72">
        <w:rPr>
          <w:rFonts w:asciiTheme="minorHAnsi" w:hAnsiTheme="minorHAnsi" w:cstheme="minorHAnsi"/>
          <w:b/>
          <w:color w:val="548DD4" w:themeColor="text2" w:themeTint="99"/>
          <w:sz w:val="24"/>
          <w:szCs w:val="24"/>
        </w:rPr>
        <w:t>Court Standing Committees Review of Performance &amp; Terms of Reference</w:t>
      </w:r>
    </w:p>
    <w:p w:rsidR="006301AE" w:rsidRPr="007A3C72" w:rsidRDefault="006301AE" w:rsidP="00E102A9">
      <w:pPr>
        <w:pStyle w:val="NoSpacing"/>
        <w:jc w:val="both"/>
        <w:rPr>
          <w:rFonts w:asciiTheme="minorHAnsi" w:hAnsiTheme="minorHAnsi" w:cstheme="minorHAnsi"/>
          <w:b/>
          <w:color w:val="548DD4" w:themeColor="text2" w:themeTint="99"/>
        </w:rPr>
      </w:pPr>
    </w:p>
    <w:p w:rsidR="006301AE" w:rsidRPr="007A3C72" w:rsidRDefault="006301AE" w:rsidP="00E102A9">
      <w:pPr>
        <w:pStyle w:val="NoSpacing"/>
        <w:jc w:val="both"/>
        <w:rPr>
          <w:rFonts w:asciiTheme="minorHAnsi" w:hAnsiTheme="minorHAnsi" w:cstheme="minorHAnsi"/>
        </w:rPr>
      </w:pPr>
      <w:r w:rsidRPr="007A3C72">
        <w:rPr>
          <w:rFonts w:asciiTheme="minorHAnsi" w:hAnsiTheme="minorHAnsi" w:cstheme="minorHAnsi"/>
        </w:rPr>
        <w:t xml:space="preserve">Court received a report from its standing committees setting out the work undertaken </w:t>
      </w:r>
      <w:r w:rsidR="0051152E" w:rsidRPr="007A3C72">
        <w:rPr>
          <w:rFonts w:asciiTheme="minorHAnsi" w:hAnsiTheme="minorHAnsi" w:cstheme="minorHAnsi"/>
        </w:rPr>
        <w:t xml:space="preserve">during </w:t>
      </w:r>
      <w:r w:rsidR="0051152E">
        <w:rPr>
          <w:rFonts w:asciiTheme="minorHAnsi" w:hAnsiTheme="minorHAnsi" w:cstheme="minorHAnsi"/>
        </w:rPr>
        <w:t>2011</w:t>
      </w:r>
      <w:r w:rsidRPr="007A3C72">
        <w:rPr>
          <w:rFonts w:asciiTheme="minorHAnsi" w:hAnsiTheme="minorHAnsi" w:cstheme="minorHAnsi"/>
        </w:rPr>
        <w:t>/2012 to achieve the</w:t>
      </w:r>
      <w:r w:rsidR="00D06BFE">
        <w:rPr>
          <w:rFonts w:asciiTheme="minorHAnsi" w:hAnsiTheme="minorHAnsi" w:cstheme="minorHAnsi"/>
        </w:rPr>
        <w:t xml:space="preserve"> committees’</w:t>
      </w:r>
      <w:r w:rsidRPr="007A3C72">
        <w:rPr>
          <w:rFonts w:asciiTheme="minorHAnsi" w:hAnsiTheme="minorHAnsi" w:cstheme="minorHAnsi"/>
        </w:rPr>
        <w:t xml:space="preserve"> objectives.</w:t>
      </w:r>
    </w:p>
    <w:p w:rsidR="006301AE" w:rsidRPr="007A3C72" w:rsidRDefault="006301AE" w:rsidP="00E102A9">
      <w:pPr>
        <w:pStyle w:val="NoSpacing"/>
        <w:jc w:val="both"/>
        <w:rPr>
          <w:rFonts w:asciiTheme="minorHAnsi" w:hAnsiTheme="minorHAnsi" w:cstheme="minorHAnsi"/>
        </w:rPr>
      </w:pPr>
    </w:p>
    <w:p w:rsidR="006301AE" w:rsidRPr="007A3C72" w:rsidRDefault="006301AE" w:rsidP="00E102A9">
      <w:pPr>
        <w:pStyle w:val="NoSpacing"/>
        <w:jc w:val="both"/>
        <w:rPr>
          <w:rFonts w:asciiTheme="minorHAnsi" w:hAnsiTheme="minorHAnsi" w:cstheme="minorHAnsi"/>
        </w:rPr>
      </w:pPr>
      <w:r w:rsidRPr="007A3C72">
        <w:rPr>
          <w:rFonts w:asciiTheme="minorHAnsi" w:hAnsiTheme="minorHAnsi" w:cstheme="minorHAnsi"/>
        </w:rPr>
        <w:t>Court approved minor amendments to the terms of reference of the Audit Committee, the Finance &amp; General Purposes Committee and the Remuneration Committee</w:t>
      </w:r>
      <w:r w:rsidR="00F71374" w:rsidRPr="007A3C72">
        <w:rPr>
          <w:rFonts w:asciiTheme="minorHAnsi" w:hAnsiTheme="minorHAnsi" w:cstheme="minorHAnsi"/>
        </w:rPr>
        <w:t>.</w:t>
      </w:r>
    </w:p>
    <w:p w:rsidR="00F71374" w:rsidRPr="007A3C72" w:rsidRDefault="00F71374" w:rsidP="00E102A9">
      <w:pPr>
        <w:pStyle w:val="NoSpacing"/>
        <w:jc w:val="both"/>
        <w:rPr>
          <w:rFonts w:asciiTheme="minorHAnsi" w:hAnsiTheme="minorHAnsi" w:cstheme="minorHAnsi"/>
        </w:rPr>
      </w:pPr>
    </w:p>
    <w:p w:rsidR="00F71374" w:rsidRPr="007A3C72" w:rsidRDefault="00F71374" w:rsidP="00E102A9">
      <w:pPr>
        <w:pStyle w:val="NoSpacing"/>
        <w:jc w:val="both"/>
        <w:rPr>
          <w:rFonts w:asciiTheme="minorHAnsi" w:hAnsiTheme="minorHAnsi" w:cstheme="minorHAnsi"/>
        </w:rPr>
      </w:pPr>
      <w:r w:rsidRPr="007A3C72">
        <w:rPr>
          <w:rFonts w:asciiTheme="minorHAnsi" w:hAnsiTheme="minorHAnsi" w:cstheme="minorHAnsi"/>
        </w:rPr>
        <w:t xml:space="preserve">Court agreed the objectives for 2012/2013 </w:t>
      </w:r>
      <w:r w:rsidR="0026193C" w:rsidRPr="007A3C72">
        <w:rPr>
          <w:rFonts w:asciiTheme="minorHAnsi" w:hAnsiTheme="minorHAnsi" w:cstheme="minorHAnsi"/>
        </w:rPr>
        <w:t>for each of its standing committees.</w:t>
      </w:r>
    </w:p>
    <w:p w:rsidR="009F102D" w:rsidRPr="007A3C72" w:rsidRDefault="009F102D">
      <w:pPr>
        <w:rPr>
          <w:rFonts w:cstheme="minorHAnsi"/>
          <w:b/>
          <w:color w:val="548DD4"/>
        </w:rPr>
      </w:pPr>
    </w:p>
    <w:p w:rsidR="005E50D7" w:rsidRPr="007A3C72" w:rsidRDefault="005E50D7" w:rsidP="00101CE0">
      <w:pPr>
        <w:jc w:val="both"/>
        <w:rPr>
          <w:rFonts w:cstheme="minorHAnsi"/>
          <w:b/>
          <w:color w:val="548DD4"/>
          <w:sz w:val="24"/>
          <w:szCs w:val="24"/>
        </w:rPr>
      </w:pPr>
      <w:r w:rsidRPr="007A3C72">
        <w:rPr>
          <w:rFonts w:cstheme="minorHAnsi"/>
          <w:b/>
          <w:color w:val="548DD4"/>
          <w:sz w:val="24"/>
          <w:szCs w:val="24"/>
        </w:rPr>
        <w:t xml:space="preserve">Regular Updates  </w:t>
      </w:r>
    </w:p>
    <w:p w:rsidR="0057393A" w:rsidRPr="007A3C72" w:rsidRDefault="005E50D7" w:rsidP="009F102D">
      <w:pPr>
        <w:jc w:val="both"/>
        <w:rPr>
          <w:rFonts w:cstheme="minorHAnsi"/>
          <w:b/>
          <w:color w:val="548DD4"/>
        </w:rPr>
      </w:pPr>
      <w:r w:rsidRPr="007A3C72">
        <w:rPr>
          <w:rFonts w:cstheme="minorHAnsi"/>
        </w:rPr>
        <w:t xml:space="preserve">The following summary reports are submitted to each </w:t>
      </w:r>
      <w:r w:rsidR="004A6DC3" w:rsidRPr="007A3C72">
        <w:rPr>
          <w:rFonts w:cstheme="minorHAnsi"/>
        </w:rPr>
        <w:t>C</w:t>
      </w:r>
      <w:r w:rsidRPr="007A3C72">
        <w:rPr>
          <w:rFonts w:cstheme="minorHAnsi"/>
        </w:rPr>
        <w:t>ourt meeting to keep governors informed of significant matters arising between Court meetings</w:t>
      </w:r>
      <w:r w:rsidR="004A6DC3" w:rsidRPr="007A3C72">
        <w:rPr>
          <w:rFonts w:cstheme="minorHAnsi"/>
        </w:rPr>
        <w:t>.</w:t>
      </w:r>
    </w:p>
    <w:p w:rsidR="005E50D7" w:rsidRPr="007A3C72" w:rsidRDefault="005E50D7" w:rsidP="004A1F63">
      <w:pPr>
        <w:pStyle w:val="NoSpacing"/>
        <w:numPr>
          <w:ilvl w:val="0"/>
          <w:numId w:val="10"/>
        </w:numPr>
        <w:rPr>
          <w:rFonts w:asciiTheme="minorHAnsi" w:hAnsiTheme="minorHAnsi" w:cstheme="minorHAnsi"/>
          <w:b/>
          <w:color w:val="548DD4" w:themeColor="text2" w:themeTint="99"/>
          <w:sz w:val="24"/>
          <w:szCs w:val="24"/>
        </w:rPr>
      </w:pPr>
      <w:r w:rsidRPr="007A3C72">
        <w:rPr>
          <w:rFonts w:asciiTheme="minorHAnsi" w:hAnsiTheme="minorHAnsi" w:cstheme="minorHAnsi"/>
          <w:b/>
          <w:color w:val="548DD4" w:themeColor="text2" w:themeTint="99"/>
          <w:sz w:val="24"/>
          <w:szCs w:val="24"/>
        </w:rPr>
        <w:t>Chair of Court’s Report</w:t>
      </w:r>
    </w:p>
    <w:p w:rsidR="006156E2" w:rsidRPr="007A3C72" w:rsidRDefault="006156E2" w:rsidP="006156E2">
      <w:pPr>
        <w:pStyle w:val="NoSpacing"/>
        <w:rPr>
          <w:rFonts w:asciiTheme="minorHAnsi" w:hAnsiTheme="minorHAnsi" w:cstheme="minorHAnsi"/>
        </w:rPr>
      </w:pPr>
    </w:p>
    <w:p w:rsidR="006156E2" w:rsidRPr="007A3C72" w:rsidRDefault="006156E2" w:rsidP="004A1F63">
      <w:pPr>
        <w:pStyle w:val="NoSpacing"/>
        <w:jc w:val="both"/>
        <w:rPr>
          <w:rFonts w:asciiTheme="minorHAnsi" w:hAnsiTheme="minorHAnsi" w:cstheme="minorHAnsi"/>
        </w:rPr>
      </w:pPr>
      <w:r w:rsidRPr="007A3C72">
        <w:rPr>
          <w:rFonts w:asciiTheme="minorHAnsi" w:hAnsiTheme="minorHAnsi" w:cstheme="minorHAnsi"/>
        </w:rPr>
        <w:t xml:space="preserve">The Chair referred to the installation of the University’s new Chancellor, Professor Muhammad </w:t>
      </w:r>
      <w:proofErr w:type="spellStart"/>
      <w:r w:rsidRPr="007A3C72">
        <w:rPr>
          <w:rFonts w:asciiTheme="minorHAnsi" w:hAnsiTheme="minorHAnsi" w:cstheme="minorHAnsi"/>
        </w:rPr>
        <w:t>Yunus</w:t>
      </w:r>
      <w:proofErr w:type="spellEnd"/>
      <w:r w:rsidRPr="007A3C72">
        <w:rPr>
          <w:rFonts w:asciiTheme="minorHAnsi" w:hAnsiTheme="minorHAnsi" w:cstheme="minorHAnsi"/>
        </w:rPr>
        <w:t>, and thanked all staff who had made the ceremony an outstanding success.</w:t>
      </w:r>
    </w:p>
    <w:p w:rsidR="004A1F63" w:rsidRPr="007A3C72" w:rsidRDefault="004A1F63" w:rsidP="004A1F63">
      <w:pPr>
        <w:pStyle w:val="NoSpacing"/>
        <w:jc w:val="both"/>
        <w:rPr>
          <w:rFonts w:asciiTheme="minorHAnsi" w:hAnsiTheme="minorHAnsi" w:cstheme="minorHAnsi"/>
        </w:rPr>
      </w:pPr>
    </w:p>
    <w:p w:rsidR="006156E2" w:rsidRPr="007A3C72" w:rsidRDefault="006156E2" w:rsidP="007A3C72">
      <w:pPr>
        <w:jc w:val="both"/>
        <w:rPr>
          <w:rFonts w:cstheme="minorHAnsi"/>
        </w:rPr>
      </w:pPr>
      <w:r w:rsidRPr="007A3C72">
        <w:rPr>
          <w:rFonts w:cstheme="minorHAnsi"/>
        </w:rPr>
        <w:t>The first meeting of the Steering Group established by the Committee of Scottish Chairs to oversee the creation of a Scottish Code of Governance took place on 2 October. The meeting agreed the process to be followed by the two experts employed to draft the Code, including a wide-ranging consultation process. Between them they will visit each higher education institution in Scotland to gauge the views of Court members, the Executive, staff and students.  The visit to GCU was likely to be in November/December.</w:t>
      </w:r>
      <w:r w:rsidR="0051152E">
        <w:rPr>
          <w:rFonts w:cstheme="minorHAnsi"/>
        </w:rPr>
        <w:t xml:space="preserve"> (It has subsequently been ascertained that the visit will occur in the new calendar year.)</w:t>
      </w:r>
    </w:p>
    <w:p w:rsidR="00C25C32" w:rsidRPr="007A3C72" w:rsidRDefault="00C25C32" w:rsidP="00036AEC">
      <w:pPr>
        <w:pStyle w:val="ListParagraph"/>
        <w:numPr>
          <w:ilvl w:val="0"/>
          <w:numId w:val="4"/>
        </w:numPr>
        <w:ind w:left="567" w:hanging="567"/>
        <w:jc w:val="both"/>
        <w:rPr>
          <w:rFonts w:asciiTheme="minorHAnsi" w:hAnsiTheme="minorHAnsi" w:cstheme="minorHAnsi"/>
          <w:b/>
          <w:color w:val="548DD4"/>
          <w:sz w:val="24"/>
          <w:szCs w:val="24"/>
        </w:rPr>
      </w:pPr>
      <w:r w:rsidRPr="007A3C72">
        <w:rPr>
          <w:rFonts w:asciiTheme="minorHAnsi" w:hAnsiTheme="minorHAnsi" w:cstheme="minorHAnsi"/>
          <w:b/>
          <w:color w:val="548DD4"/>
          <w:sz w:val="24"/>
          <w:szCs w:val="24"/>
        </w:rPr>
        <w:t>Principal</w:t>
      </w:r>
      <w:r w:rsidR="00985876" w:rsidRPr="007A3C72">
        <w:rPr>
          <w:rFonts w:asciiTheme="minorHAnsi" w:hAnsiTheme="minorHAnsi" w:cstheme="minorHAnsi"/>
          <w:b/>
          <w:color w:val="548DD4"/>
          <w:sz w:val="24"/>
          <w:szCs w:val="24"/>
        </w:rPr>
        <w:t xml:space="preserve"> </w:t>
      </w:r>
      <w:r w:rsidRPr="007A3C72">
        <w:rPr>
          <w:rFonts w:asciiTheme="minorHAnsi" w:hAnsiTheme="minorHAnsi" w:cstheme="minorHAnsi"/>
          <w:b/>
          <w:color w:val="548DD4"/>
          <w:sz w:val="24"/>
          <w:szCs w:val="24"/>
        </w:rPr>
        <w:t>&amp; Vice Chancellor &amp; Executive Board Report</w:t>
      </w:r>
    </w:p>
    <w:p w:rsidR="0057393A" w:rsidRPr="007A3C72" w:rsidRDefault="0057393A" w:rsidP="0057393A">
      <w:pPr>
        <w:pStyle w:val="NoSpacing"/>
        <w:rPr>
          <w:rFonts w:asciiTheme="minorHAnsi" w:hAnsiTheme="minorHAnsi" w:cstheme="minorHAnsi"/>
        </w:rPr>
      </w:pPr>
    </w:p>
    <w:p w:rsidR="00C11937" w:rsidRPr="007A3C72" w:rsidRDefault="00640B34" w:rsidP="007A3C72">
      <w:pPr>
        <w:jc w:val="both"/>
        <w:rPr>
          <w:rFonts w:cstheme="minorHAnsi"/>
        </w:rPr>
      </w:pPr>
      <w:r w:rsidRPr="007A3C72">
        <w:rPr>
          <w:rFonts w:cstheme="minorHAnsi"/>
        </w:rPr>
        <w:t xml:space="preserve">The report summarised </w:t>
      </w:r>
      <w:r w:rsidR="005E50D7" w:rsidRPr="007A3C72">
        <w:rPr>
          <w:rFonts w:cstheme="minorHAnsi"/>
        </w:rPr>
        <w:t>substantive items considered by the Executive Board since the previous</w:t>
      </w:r>
      <w:r w:rsidR="004A6DC3" w:rsidRPr="007A3C72">
        <w:rPr>
          <w:rFonts w:cstheme="minorHAnsi"/>
        </w:rPr>
        <w:t xml:space="preserve"> Court meeting </w:t>
      </w:r>
      <w:r w:rsidR="00A373FA" w:rsidRPr="007A3C72">
        <w:rPr>
          <w:rFonts w:cstheme="minorHAnsi"/>
        </w:rPr>
        <w:t xml:space="preserve">on </w:t>
      </w:r>
      <w:r w:rsidR="004A1F63" w:rsidRPr="007A3C72">
        <w:rPr>
          <w:rFonts w:cstheme="minorHAnsi"/>
        </w:rPr>
        <w:t>27 September</w:t>
      </w:r>
      <w:r w:rsidR="00A373FA" w:rsidRPr="007A3C72">
        <w:rPr>
          <w:rFonts w:cstheme="minorHAnsi"/>
        </w:rPr>
        <w:t xml:space="preserve"> 2012, including</w:t>
      </w:r>
      <w:r w:rsidR="00FE5691" w:rsidRPr="007A3C72">
        <w:rPr>
          <w:rFonts w:cstheme="minorHAnsi"/>
        </w:rPr>
        <w:t>:</w:t>
      </w:r>
      <w:r w:rsidR="00411BF8" w:rsidRPr="007A3C72">
        <w:rPr>
          <w:rFonts w:cstheme="minorHAnsi"/>
        </w:rPr>
        <w:t xml:space="preserve"> </w:t>
      </w:r>
    </w:p>
    <w:p w:rsidR="009F7749" w:rsidRPr="007A3C72" w:rsidRDefault="00A27410" w:rsidP="007A3C72">
      <w:pPr>
        <w:jc w:val="both"/>
        <w:rPr>
          <w:rFonts w:cstheme="minorHAnsi"/>
          <w:bCs/>
        </w:rPr>
      </w:pPr>
      <w:r w:rsidRPr="007A3C72">
        <w:rPr>
          <w:rFonts w:cstheme="minorHAnsi"/>
        </w:rPr>
        <w:t xml:space="preserve">The University had received a certificate of congratulations from John Sexton, President of New York University to mark the installation of Professor </w:t>
      </w:r>
      <w:proofErr w:type="spellStart"/>
      <w:r w:rsidRPr="007A3C72">
        <w:rPr>
          <w:rFonts w:cstheme="minorHAnsi"/>
        </w:rPr>
        <w:t>Yunus</w:t>
      </w:r>
      <w:proofErr w:type="spellEnd"/>
      <w:r w:rsidRPr="007A3C72">
        <w:rPr>
          <w:rFonts w:cstheme="minorHAnsi"/>
        </w:rPr>
        <w:t xml:space="preserve"> as Chancellor.  </w:t>
      </w:r>
    </w:p>
    <w:p w:rsidR="00A27410" w:rsidRPr="007A3C72" w:rsidRDefault="00A27410" w:rsidP="007A3C72">
      <w:pPr>
        <w:jc w:val="both"/>
        <w:rPr>
          <w:rFonts w:cstheme="minorHAnsi"/>
          <w:bCs/>
        </w:rPr>
      </w:pPr>
      <w:r w:rsidRPr="007A3C72">
        <w:rPr>
          <w:rFonts w:cstheme="minorHAnsi"/>
        </w:rPr>
        <w:t xml:space="preserve">Mr Graham </w:t>
      </w:r>
      <w:proofErr w:type="spellStart"/>
      <w:r w:rsidRPr="007A3C72">
        <w:rPr>
          <w:rFonts w:cstheme="minorHAnsi"/>
        </w:rPr>
        <w:t>Moorhouse</w:t>
      </w:r>
      <w:proofErr w:type="spellEnd"/>
      <w:r w:rsidRPr="007A3C72">
        <w:rPr>
          <w:rFonts w:cstheme="minorHAnsi"/>
        </w:rPr>
        <w:t xml:space="preserve">, former Director of Finance at BAA Edinburgh Airport, had been appointed as Chief Financial Officer.  Mr </w:t>
      </w:r>
      <w:proofErr w:type="spellStart"/>
      <w:r w:rsidRPr="007A3C72">
        <w:rPr>
          <w:rFonts w:cstheme="minorHAnsi"/>
        </w:rPr>
        <w:t>Moorhouse</w:t>
      </w:r>
      <w:proofErr w:type="spellEnd"/>
      <w:r w:rsidRPr="007A3C72">
        <w:rPr>
          <w:rFonts w:cstheme="minorHAnsi"/>
        </w:rPr>
        <w:t xml:space="preserve"> would join the University on 1</w:t>
      </w:r>
      <w:r w:rsidRPr="007A3C72">
        <w:rPr>
          <w:rFonts w:cstheme="minorHAnsi"/>
          <w:vertAlign w:val="superscript"/>
        </w:rPr>
        <w:t>st</w:t>
      </w:r>
      <w:r w:rsidRPr="007A3C72">
        <w:rPr>
          <w:rFonts w:cstheme="minorHAnsi"/>
        </w:rPr>
        <w:t xml:space="preserve"> December 2012 and shadow Mr David Beeby in advance of his </w:t>
      </w:r>
      <w:proofErr w:type="spellStart"/>
      <w:r w:rsidRPr="007A3C72">
        <w:rPr>
          <w:rFonts w:cstheme="minorHAnsi"/>
        </w:rPr>
        <w:t>retiral</w:t>
      </w:r>
      <w:proofErr w:type="spellEnd"/>
      <w:r w:rsidRPr="007A3C72">
        <w:rPr>
          <w:rFonts w:cstheme="minorHAnsi"/>
        </w:rPr>
        <w:t xml:space="preserve"> in January 2013.  Mr </w:t>
      </w:r>
      <w:proofErr w:type="spellStart"/>
      <w:r w:rsidRPr="007A3C72">
        <w:rPr>
          <w:rFonts w:cstheme="minorHAnsi"/>
        </w:rPr>
        <w:t>Moorhouse</w:t>
      </w:r>
      <w:proofErr w:type="spellEnd"/>
      <w:r w:rsidRPr="007A3C72">
        <w:rPr>
          <w:rFonts w:cstheme="minorHAnsi"/>
        </w:rPr>
        <w:t xml:space="preserve"> would be responsible for Finance, Policy and Planning and Information Services.</w:t>
      </w:r>
      <w:r w:rsidR="0051152E">
        <w:rPr>
          <w:rFonts w:cstheme="minorHAnsi"/>
        </w:rPr>
        <w:t xml:space="preserve"> (It was subsequently agreed that Mr </w:t>
      </w:r>
      <w:proofErr w:type="spellStart"/>
      <w:r w:rsidR="0051152E">
        <w:rPr>
          <w:rFonts w:cstheme="minorHAnsi"/>
        </w:rPr>
        <w:t>Moorhouse</w:t>
      </w:r>
      <w:proofErr w:type="spellEnd"/>
      <w:r w:rsidR="0051152E">
        <w:rPr>
          <w:rFonts w:cstheme="minorHAnsi"/>
        </w:rPr>
        <w:t xml:space="preserve"> would join the University on 26 November.)</w:t>
      </w:r>
      <w:r w:rsidRPr="007A3C72">
        <w:rPr>
          <w:rFonts w:eastAsia="Calibri" w:cstheme="minorHAnsi"/>
          <w:color w:val="1F497D"/>
        </w:rPr>
        <w:t> </w:t>
      </w:r>
    </w:p>
    <w:p w:rsidR="00A27410" w:rsidRPr="007A3C72" w:rsidRDefault="003C09CF" w:rsidP="007A3C72">
      <w:pPr>
        <w:jc w:val="both"/>
        <w:rPr>
          <w:rFonts w:cstheme="minorHAnsi"/>
          <w:bCs/>
        </w:rPr>
      </w:pPr>
      <w:r w:rsidRPr="007A3C72">
        <w:rPr>
          <w:rFonts w:cstheme="minorHAnsi"/>
        </w:rPr>
        <w:t>T</w:t>
      </w:r>
      <w:r w:rsidR="00A27410" w:rsidRPr="007A3C72">
        <w:rPr>
          <w:rFonts w:cstheme="minorHAnsi"/>
        </w:rPr>
        <w:t>he Ministerial Letter of Guidance</w:t>
      </w:r>
      <w:r w:rsidR="004E7539" w:rsidRPr="007A3C72">
        <w:rPr>
          <w:rFonts w:cstheme="minorHAnsi"/>
        </w:rPr>
        <w:t xml:space="preserve"> </w:t>
      </w:r>
      <w:r w:rsidR="004E7539" w:rsidRPr="007A3C72">
        <w:rPr>
          <w:rFonts w:cstheme="minorHAnsi"/>
          <w:bCs/>
        </w:rPr>
        <w:t>which set out the high level priorities for the sector</w:t>
      </w:r>
      <w:r w:rsidR="00A27410" w:rsidRPr="007A3C72">
        <w:rPr>
          <w:rFonts w:cstheme="minorHAnsi"/>
        </w:rPr>
        <w:t xml:space="preserve"> for 2013-14 </w:t>
      </w:r>
      <w:r w:rsidR="0051152E">
        <w:rPr>
          <w:rFonts w:cstheme="minorHAnsi"/>
        </w:rPr>
        <w:t>was circulated to the Court</w:t>
      </w:r>
      <w:r w:rsidR="00A27410" w:rsidRPr="007A3C72">
        <w:rPr>
          <w:rFonts w:cstheme="minorHAnsi"/>
        </w:rPr>
        <w:t xml:space="preserve"> and was as expected</w:t>
      </w:r>
      <w:r w:rsidR="004E7539" w:rsidRPr="007A3C72">
        <w:rPr>
          <w:rFonts w:cstheme="minorHAnsi"/>
        </w:rPr>
        <w:t xml:space="preserve">:  </w:t>
      </w:r>
      <w:r w:rsidR="004E7539" w:rsidRPr="007A3C72">
        <w:rPr>
          <w:rFonts w:cstheme="minorHAnsi"/>
          <w:bCs/>
        </w:rPr>
        <w:t xml:space="preserve">2% efficiency savings across the sector, </w:t>
      </w:r>
      <w:r w:rsidR="0051152E">
        <w:rPr>
          <w:rFonts w:cstheme="minorHAnsi"/>
          <w:bCs/>
        </w:rPr>
        <w:t>with strategic emphasis</w:t>
      </w:r>
      <w:r w:rsidR="001F017F">
        <w:rPr>
          <w:rFonts w:cstheme="minorHAnsi"/>
          <w:bCs/>
        </w:rPr>
        <w:t xml:space="preserve"> on</w:t>
      </w:r>
      <w:r w:rsidR="0051152E">
        <w:rPr>
          <w:rFonts w:cstheme="minorHAnsi"/>
          <w:bCs/>
        </w:rPr>
        <w:t xml:space="preserve"> </w:t>
      </w:r>
      <w:r w:rsidR="004E7539" w:rsidRPr="007A3C72">
        <w:rPr>
          <w:rFonts w:cstheme="minorHAnsi"/>
          <w:bCs/>
        </w:rPr>
        <w:t>widening access, articulation, taught postgraduate and capital projects.  It was noted that an indicative grant letter was expected in December and bid guidance would be circulated.</w:t>
      </w:r>
    </w:p>
    <w:p w:rsidR="00A27410" w:rsidRPr="007A3C72" w:rsidRDefault="00A27410" w:rsidP="007A3C72">
      <w:pPr>
        <w:jc w:val="both"/>
        <w:rPr>
          <w:rFonts w:cstheme="minorHAnsi"/>
          <w:bCs/>
        </w:rPr>
      </w:pPr>
      <w:r w:rsidRPr="007A3C72">
        <w:rPr>
          <w:rFonts w:cstheme="minorHAnsi"/>
        </w:rPr>
        <w:lastRenderedPageBreak/>
        <w:t>The Principal received Court’s approval to progress with the wider circulation of the draft Internationalisation Strategy as discussed at the Court Away</w:t>
      </w:r>
      <w:r w:rsidR="001A2F2D">
        <w:rPr>
          <w:rFonts w:cstheme="minorHAnsi"/>
        </w:rPr>
        <w:t xml:space="preserve"> D</w:t>
      </w:r>
      <w:r w:rsidRPr="007A3C72">
        <w:rPr>
          <w:rFonts w:cstheme="minorHAnsi"/>
        </w:rPr>
        <w:t xml:space="preserve">ay with a final version being brought back to a future Court meeting for approval.  It was noted that this </w:t>
      </w:r>
      <w:r w:rsidR="00FA6B15">
        <w:rPr>
          <w:rFonts w:cstheme="minorHAnsi"/>
        </w:rPr>
        <w:t xml:space="preserve">included progressing </w:t>
      </w:r>
      <w:r w:rsidRPr="007A3C72">
        <w:rPr>
          <w:rFonts w:cstheme="minorHAnsi"/>
        </w:rPr>
        <w:t xml:space="preserve">the plans for establishing </w:t>
      </w:r>
      <w:r w:rsidR="001F697E">
        <w:rPr>
          <w:rFonts w:cstheme="minorHAnsi"/>
        </w:rPr>
        <w:t>a base in</w:t>
      </w:r>
      <w:r w:rsidRPr="007A3C72">
        <w:rPr>
          <w:rFonts w:cstheme="minorHAnsi"/>
        </w:rPr>
        <w:t xml:space="preserve"> New York</w:t>
      </w:r>
      <w:r w:rsidR="00FA6B15" w:rsidRPr="00FA6B15">
        <w:t xml:space="preserve"> </w:t>
      </w:r>
      <w:r w:rsidR="00FA6B15">
        <w:t>to deliver executive training and short courses</w:t>
      </w:r>
      <w:r w:rsidR="001F017F">
        <w:t xml:space="preserve"> in the first instance</w:t>
      </w:r>
      <w:r w:rsidR="00FA6B15">
        <w:t>; to further GCU’s research collaborations with Universities in New York and to examine the potential for delivering masters courses building on the successful model of the London campus.</w:t>
      </w:r>
    </w:p>
    <w:p w:rsidR="00640B34" w:rsidRPr="007A3C72" w:rsidRDefault="000D513E" w:rsidP="00036AEC">
      <w:pPr>
        <w:pStyle w:val="ListParagraph"/>
        <w:numPr>
          <w:ilvl w:val="0"/>
          <w:numId w:val="4"/>
        </w:numPr>
        <w:ind w:left="567" w:hanging="567"/>
        <w:jc w:val="both"/>
        <w:rPr>
          <w:rFonts w:asciiTheme="minorHAnsi" w:hAnsiTheme="minorHAnsi" w:cstheme="minorHAnsi"/>
          <w:b/>
          <w:color w:val="548DD4"/>
          <w:sz w:val="24"/>
          <w:szCs w:val="24"/>
        </w:rPr>
      </w:pPr>
      <w:r w:rsidRPr="007A3C72">
        <w:rPr>
          <w:rFonts w:asciiTheme="minorHAnsi" w:hAnsiTheme="minorHAnsi" w:cstheme="minorHAnsi"/>
          <w:b/>
          <w:color w:val="548DD4" w:themeColor="text2" w:themeTint="99"/>
          <w:sz w:val="24"/>
          <w:szCs w:val="24"/>
        </w:rPr>
        <w:t>U</w:t>
      </w:r>
      <w:r w:rsidR="002461A7" w:rsidRPr="007A3C72">
        <w:rPr>
          <w:rFonts w:asciiTheme="minorHAnsi" w:hAnsiTheme="minorHAnsi" w:cstheme="minorHAnsi"/>
          <w:b/>
          <w:color w:val="548DD4"/>
          <w:sz w:val="24"/>
          <w:szCs w:val="24"/>
        </w:rPr>
        <w:t>niversity Secretary’s Report</w:t>
      </w:r>
    </w:p>
    <w:p w:rsidR="007A3C72" w:rsidRPr="007A3C72" w:rsidRDefault="007A3C72" w:rsidP="007A3C72">
      <w:pPr>
        <w:pStyle w:val="NoSpacing"/>
        <w:rPr>
          <w:rFonts w:asciiTheme="minorHAnsi" w:hAnsiTheme="minorHAnsi" w:cstheme="minorHAnsi"/>
        </w:rPr>
      </w:pPr>
    </w:p>
    <w:p w:rsidR="00E22375" w:rsidRPr="007A3C72" w:rsidRDefault="002461A7" w:rsidP="00E22375">
      <w:pPr>
        <w:jc w:val="both"/>
        <w:rPr>
          <w:rFonts w:cstheme="minorHAnsi"/>
        </w:rPr>
      </w:pPr>
      <w:r w:rsidRPr="007A3C72">
        <w:rPr>
          <w:rFonts w:cstheme="minorHAnsi"/>
        </w:rPr>
        <w:t xml:space="preserve">The report </w:t>
      </w:r>
      <w:r w:rsidR="00615E13" w:rsidRPr="007A3C72">
        <w:rPr>
          <w:rFonts w:cstheme="minorHAnsi"/>
        </w:rPr>
        <w:t>included a summary</w:t>
      </w:r>
      <w:r w:rsidR="00A00059" w:rsidRPr="007A3C72">
        <w:rPr>
          <w:rFonts w:cstheme="minorHAnsi"/>
        </w:rPr>
        <w:t xml:space="preserve"> of</w:t>
      </w:r>
      <w:r w:rsidR="00615E13" w:rsidRPr="007A3C72">
        <w:rPr>
          <w:rFonts w:cstheme="minorHAnsi"/>
        </w:rPr>
        <w:t xml:space="preserve"> work relating to areas of governance</w:t>
      </w:r>
      <w:r w:rsidR="004E7539" w:rsidRPr="007A3C72">
        <w:rPr>
          <w:rFonts w:cstheme="minorHAnsi"/>
        </w:rPr>
        <w:t>.  In particular, Court noted and agreed the actions proposed in respect of recommendations arising from the Court Effectiveness Review which had benefited from the contribution of a highly experienced external consultant</w:t>
      </w:r>
    </w:p>
    <w:p w:rsidR="007A3C72" w:rsidRPr="007A3C72" w:rsidRDefault="007A3C72" w:rsidP="007A3C72">
      <w:pPr>
        <w:pStyle w:val="ListParagraph"/>
        <w:numPr>
          <w:ilvl w:val="0"/>
          <w:numId w:val="4"/>
        </w:numPr>
        <w:ind w:left="567" w:hanging="567"/>
        <w:jc w:val="both"/>
        <w:rPr>
          <w:rFonts w:asciiTheme="minorHAnsi" w:hAnsiTheme="minorHAnsi" w:cstheme="minorHAnsi"/>
          <w:b/>
          <w:color w:val="548DD4" w:themeColor="text2" w:themeTint="99"/>
          <w:sz w:val="24"/>
          <w:szCs w:val="24"/>
        </w:rPr>
      </w:pPr>
      <w:r w:rsidRPr="007A3C72">
        <w:rPr>
          <w:rFonts w:asciiTheme="minorHAnsi" w:hAnsiTheme="minorHAnsi" w:cstheme="minorHAnsi"/>
          <w:b/>
          <w:color w:val="548DD4" w:themeColor="text2" w:themeTint="99"/>
          <w:sz w:val="24"/>
          <w:szCs w:val="24"/>
        </w:rPr>
        <w:t>Senate Report</w:t>
      </w:r>
    </w:p>
    <w:p w:rsidR="007A3C72" w:rsidRPr="007A3C72" w:rsidRDefault="007A3C72" w:rsidP="007A3C72">
      <w:pPr>
        <w:pStyle w:val="NoSpacing"/>
        <w:rPr>
          <w:rFonts w:asciiTheme="minorHAnsi" w:hAnsiTheme="minorHAnsi" w:cstheme="minorHAnsi"/>
        </w:rPr>
      </w:pPr>
    </w:p>
    <w:p w:rsidR="007A3C72" w:rsidRPr="007A3C72" w:rsidRDefault="007A3C72" w:rsidP="007A3C72">
      <w:pPr>
        <w:jc w:val="both"/>
        <w:rPr>
          <w:rFonts w:cstheme="minorHAnsi"/>
        </w:rPr>
      </w:pPr>
      <w:r w:rsidRPr="007A3C72">
        <w:rPr>
          <w:rFonts w:cstheme="minorHAnsi"/>
        </w:rPr>
        <w:t>Court noted a report on the substantive items discussed at the meeting of Senate on 12</w:t>
      </w:r>
      <w:r w:rsidRPr="007A3C72">
        <w:rPr>
          <w:rFonts w:cstheme="minorHAnsi"/>
          <w:vertAlign w:val="superscript"/>
        </w:rPr>
        <w:t>th</w:t>
      </w:r>
      <w:r w:rsidRPr="007A3C72">
        <w:rPr>
          <w:rFonts w:cstheme="minorHAnsi"/>
        </w:rPr>
        <w:t xml:space="preserve"> October 2012.</w:t>
      </w:r>
    </w:p>
    <w:p w:rsidR="00AD02A7" w:rsidRPr="007A3C72" w:rsidRDefault="00A00059" w:rsidP="00E22375">
      <w:pPr>
        <w:pStyle w:val="ListParagraph"/>
        <w:numPr>
          <w:ilvl w:val="0"/>
          <w:numId w:val="4"/>
        </w:numPr>
        <w:ind w:left="567" w:hanging="567"/>
        <w:jc w:val="both"/>
        <w:rPr>
          <w:rFonts w:asciiTheme="minorHAnsi" w:hAnsiTheme="minorHAnsi" w:cstheme="minorHAnsi"/>
          <w:b/>
          <w:color w:val="548DD4"/>
          <w:sz w:val="24"/>
          <w:szCs w:val="24"/>
        </w:rPr>
      </w:pPr>
      <w:r w:rsidRPr="007A3C72">
        <w:rPr>
          <w:rFonts w:asciiTheme="minorHAnsi" w:hAnsiTheme="minorHAnsi" w:cstheme="minorHAnsi"/>
          <w:b/>
          <w:color w:val="548DD4"/>
          <w:sz w:val="24"/>
          <w:szCs w:val="24"/>
        </w:rPr>
        <w:t xml:space="preserve">Reports from </w:t>
      </w:r>
      <w:r w:rsidR="007B4FC2" w:rsidRPr="007A3C72">
        <w:rPr>
          <w:rFonts w:asciiTheme="minorHAnsi" w:hAnsiTheme="minorHAnsi" w:cstheme="minorHAnsi"/>
          <w:b/>
          <w:color w:val="548DD4"/>
          <w:sz w:val="24"/>
          <w:szCs w:val="24"/>
        </w:rPr>
        <w:t>Court</w:t>
      </w:r>
      <w:r w:rsidRPr="007A3C72">
        <w:rPr>
          <w:rFonts w:asciiTheme="minorHAnsi" w:hAnsiTheme="minorHAnsi" w:cstheme="minorHAnsi"/>
          <w:b/>
          <w:color w:val="548DD4"/>
          <w:sz w:val="24"/>
          <w:szCs w:val="24"/>
        </w:rPr>
        <w:t xml:space="preserve"> Standing Committees</w:t>
      </w:r>
    </w:p>
    <w:p w:rsidR="00E71336" w:rsidRPr="007A3C72" w:rsidRDefault="00E71336" w:rsidP="00101CE0">
      <w:pPr>
        <w:pStyle w:val="NoSpacing"/>
        <w:jc w:val="both"/>
        <w:rPr>
          <w:rFonts w:asciiTheme="minorHAnsi" w:hAnsiTheme="minorHAnsi" w:cstheme="minorHAnsi"/>
        </w:rPr>
      </w:pPr>
    </w:p>
    <w:p w:rsidR="0091551C" w:rsidRPr="007A3C72" w:rsidRDefault="007E57CF" w:rsidP="007A3C72">
      <w:pPr>
        <w:jc w:val="both"/>
        <w:rPr>
          <w:rFonts w:cstheme="minorHAnsi"/>
        </w:rPr>
      </w:pPr>
      <w:r w:rsidRPr="007A3C72">
        <w:rPr>
          <w:rFonts w:cstheme="minorHAnsi"/>
        </w:rPr>
        <w:t xml:space="preserve">Court noted </w:t>
      </w:r>
      <w:r w:rsidR="00C60CFC" w:rsidRPr="007A3C72">
        <w:rPr>
          <w:rFonts w:cstheme="minorHAnsi"/>
        </w:rPr>
        <w:t>rep</w:t>
      </w:r>
      <w:r w:rsidRPr="007A3C72">
        <w:rPr>
          <w:rFonts w:cstheme="minorHAnsi"/>
        </w:rPr>
        <w:t>ort</w:t>
      </w:r>
      <w:r w:rsidR="00C60CFC" w:rsidRPr="007A3C72">
        <w:rPr>
          <w:rFonts w:cstheme="minorHAnsi"/>
        </w:rPr>
        <w:t>s</w:t>
      </w:r>
      <w:r w:rsidRPr="007A3C72">
        <w:rPr>
          <w:rFonts w:cstheme="minorHAnsi"/>
        </w:rPr>
        <w:t xml:space="preserve"> </w:t>
      </w:r>
      <w:r w:rsidR="00C60CFC" w:rsidRPr="007A3C72">
        <w:rPr>
          <w:rFonts w:cstheme="minorHAnsi"/>
        </w:rPr>
        <w:t>from the Audit Committee,</w:t>
      </w:r>
      <w:r w:rsidR="00707B67" w:rsidRPr="007A3C72">
        <w:rPr>
          <w:rFonts w:cstheme="minorHAnsi"/>
        </w:rPr>
        <w:t xml:space="preserve"> </w:t>
      </w:r>
      <w:r w:rsidR="00E3726C" w:rsidRPr="007A3C72">
        <w:rPr>
          <w:rFonts w:cstheme="minorHAnsi"/>
        </w:rPr>
        <w:t>the</w:t>
      </w:r>
      <w:r w:rsidR="00707B67" w:rsidRPr="007A3C72">
        <w:rPr>
          <w:rFonts w:cstheme="minorHAnsi"/>
        </w:rPr>
        <w:t xml:space="preserve"> </w:t>
      </w:r>
      <w:r w:rsidR="00C60CFC" w:rsidRPr="007A3C72">
        <w:rPr>
          <w:rFonts w:cstheme="minorHAnsi"/>
        </w:rPr>
        <w:t>Finance &amp; General Purposes Committee</w:t>
      </w:r>
      <w:r w:rsidR="00AA3B26" w:rsidRPr="007A3C72">
        <w:rPr>
          <w:rFonts w:cstheme="minorHAnsi"/>
        </w:rPr>
        <w:t xml:space="preserve"> </w:t>
      </w:r>
      <w:r w:rsidR="00C60CFC" w:rsidRPr="007A3C72">
        <w:rPr>
          <w:rFonts w:cstheme="minorHAnsi"/>
        </w:rPr>
        <w:t>and</w:t>
      </w:r>
      <w:r w:rsidRPr="007A3C72">
        <w:rPr>
          <w:rFonts w:cstheme="minorHAnsi"/>
        </w:rPr>
        <w:t xml:space="preserve"> </w:t>
      </w:r>
      <w:r w:rsidR="00E22375" w:rsidRPr="007A3C72">
        <w:rPr>
          <w:rFonts w:cstheme="minorHAnsi"/>
        </w:rPr>
        <w:t>the Health &amp; Safety</w:t>
      </w:r>
      <w:r w:rsidRPr="007A3C72">
        <w:rPr>
          <w:rFonts w:cstheme="minorHAnsi"/>
        </w:rPr>
        <w:t xml:space="preserve"> Committee </w:t>
      </w:r>
      <w:r w:rsidR="00C60CFC" w:rsidRPr="007A3C72">
        <w:rPr>
          <w:rFonts w:cstheme="minorHAnsi"/>
        </w:rPr>
        <w:t xml:space="preserve">on issues discussed since the last Court meeting.    </w:t>
      </w:r>
      <w:r w:rsidRPr="007A3C72">
        <w:rPr>
          <w:rFonts w:cstheme="minorHAnsi"/>
        </w:rPr>
        <w:t xml:space="preserve"> </w:t>
      </w:r>
    </w:p>
    <w:p w:rsidR="009F102D" w:rsidRPr="007A3C72" w:rsidRDefault="009F102D" w:rsidP="00101CE0">
      <w:pPr>
        <w:pStyle w:val="NoSpacing"/>
        <w:jc w:val="both"/>
        <w:rPr>
          <w:rFonts w:asciiTheme="minorHAnsi" w:hAnsiTheme="minorHAnsi" w:cstheme="minorHAnsi"/>
        </w:rPr>
      </w:pPr>
    </w:p>
    <w:p w:rsidR="00C32AA9" w:rsidRPr="007A3C72" w:rsidRDefault="00C32AA9" w:rsidP="00101CE0">
      <w:pPr>
        <w:pStyle w:val="NoSpacing"/>
        <w:jc w:val="both"/>
        <w:rPr>
          <w:rFonts w:asciiTheme="minorHAnsi" w:hAnsiTheme="minorHAnsi" w:cstheme="minorHAnsi"/>
        </w:rPr>
      </w:pPr>
      <w:r w:rsidRPr="007A3C72">
        <w:rPr>
          <w:rFonts w:asciiTheme="minorHAnsi" w:hAnsiTheme="minorHAnsi" w:cstheme="minorHAnsi"/>
        </w:rPr>
        <w:t>Tony Brian</w:t>
      </w:r>
    </w:p>
    <w:p w:rsidR="00940A84" w:rsidRPr="007A3C72" w:rsidRDefault="00C32AA9" w:rsidP="00101CE0">
      <w:pPr>
        <w:pStyle w:val="NoSpacing"/>
        <w:jc w:val="both"/>
        <w:rPr>
          <w:rFonts w:asciiTheme="minorHAnsi" w:hAnsiTheme="minorHAnsi" w:cstheme="minorHAnsi"/>
        </w:rPr>
      </w:pPr>
      <w:r w:rsidRPr="007A3C72">
        <w:rPr>
          <w:rFonts w:asciiTheme="minorHAnsi" w:hAnsiTheme="minorHAnsi" w:cstheme="minorHAnsi"/>
        </w:rPr>
        <w:t>Chair of Court</w:t>
      </w:r>
    </w:p>
    <w:sectPr w:rsidR="00940A84" w:rsidRPr="007A3C72" w:rsidSect="00940A84">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0E2" w:rsidRDefault="004A20E2" w:rsidP="009951FD">
      <w:pPr>
        <w:spacing w:after="0" w:line="240" w:lineRule="auto"/>
      </w:pPr>
      <w:r>
        <w:separator/>
      </w:r>
    </w:p>
  </w:endnote>
  <w:endnote w:type="continuationSeparator" w:id="0">
    <w:p w:rsidR="004A20E2" w:rsidRDefault="004A20E2" w:rsidP="00995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489705"/>
      <w:docPartObj>
        <w:docPartGallery w:val="Page Numbers (Bottom of Page)"/>
        <w:docPartUnique/>
      </w:docPartObj>
    </w:sdtPr>
    <w:sdtEndPr>
      <w:rPr>
        <w:noProof/>
      </w:rPr>
    </w:sdtEndPr>
    <w:sdtContent>
      <w:p w:rsidR="001A2F2D" w:rsidRDefault="004A20E2">
        <w:pPr>
          <w:pStyle w:val="Footer"/>
          <w:jc w:val="right"/>
        </w:pPr>
        <w:r>
          <w:fldChar w:fldCharType="begin"/>
        </w:r>
        <w:r>
          <w:instrText xml:space="preserve"> PAGE   \* MERGEFORMAT </w:instrText>
        </w:r>
        <w:r>
          <w:fldChar w:fldCharType="separate"/>
        </w:r>
        <w:r w:rsidR="00002E49">
          <w:rPr>
            <w:noProof/>
          </w:rPr>
          <w:t>1</w:t>
        </w:r>
        <w:r>
          <w:rPr>
            <w:noProof/>
          </w:rPr>
          <w:fldChar w:fldCharType="end"/>
        </w:r>
      </w:p>
    </w:sdtContent>
  </w:sdt>
  <w:p w:rsidR="001A2F2D" w:rsidRDefault="001A2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0E2" w:rsidRDefault="004A20E2" w:rsidP="009951FD">
      <w:pPr>
        <w:spacing w:after="0" w:line="240" w:lineRule="auto"/>
      </w:pPr>
      <w:r>
        <w:separator/>
      </w:r>
    </w:p>
  </w:footnote>
  <w:footnote w:type="continuationSeparator" w:id="0">
    <w:p w:rsidR="004A20E2" w:rsidRDefault="004A20E2" w:rsidP="00995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030"/>
    <w:multiLevelType w:val="hybridMultilevel"/>
    <w:tmpl w:val="2C04E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DD2506"/>
    <w:multiLevelType w:val="hybridMultilevel"/>
    <w:tmpl w:val="DA907B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244B27"/>
    <w:multiLevelType w:val="hybridMultilevel"/>
    <w:tmpl w:val="D39A77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C537E"/>
    <w:multiLevelType w:val="hybridMultilevel"/>
    <w:tmpl w:val="AFE6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8D7233"/>
    <w:multiLevelType w:val="hybridMultilevel"/>
    <w:tmpl w:val="9F48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7F4507"/>
    <w:multiLevelType w:val="hybridMultilevel"/>
    <w:tmpl w:val="488ED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807A56"/>
    <w:multiLevelType w:val="hybridMultilevel"/>
    <w:tmpl w:val="373C786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7">
    <w:nsid w:val="6ED81C20"/>
    <w:multiLevelType w:val="hybridMultilevel"/>
    <w:tmpl w:val="FB8C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403A5F"/>
    <w:multiLevelType w:val="hybridMultilevel"/>
    <w:tmpl w:val="11D8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A75DDF"/>
    <w:multiLevelType w:val="hybridMultilevel"/>
    <w:tmpl w:val="FB3CC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9"/>
  </w:num>
  <w:num w:numId="5">
    <w:abstractNumId w:val="8"/>
  </w:num>
  <w:num w:numId="6">
    <w:abstractNumId w:val="4"/>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35"/>
    <w:rsid w:val="00002E49"/>
    <w:rsid w:val="000034BC"/>
    <w:rsid w:val="00005414"/>
    <w:rsid w:val="00015E52"/>
    <w:rsid w:val="00036AEC"/>
    <w:rsid w:val="000379B8"/>
    <w:rsid w:val="00074180"/>
    <w:rsid w:val="000862FE"/>
    <w:rsid w:val="00096613"/>
    <w:rsid w:val="000B455A"/>
    <w:rsid w:val="000D3FAA"/>
    <w:rsid w:val="000D513E"/>
    <w:rsid w:val="000E3AA5"/>
    <w:rsid w:val="000E6AC5"/>
    <w:rsid w:val="000F6E4A"/>
    <w:rsid w:val="000F79E1"/>
    <w:rsid w:val="00101CE0"/>
    <w:rsid w:val="001162A4"/>
    <w:rsid w:val="00126311"/>
    <w:rsid w:val="00132290"/>
    <w:rsid w:val="001357C9"/>
    <w:rsid w:val="00146BC6"/>
    <w:rsid w:val="00194ED7"/>
    <w:rsid w:val="001A2F2D"/>
    <w:rsid w:val="001B686A"/>
    <w:rsid w:val="001D220C"/>
    <w:rsid w:val="001E2370"/>
    <w:rsid w:val="001F017F"/>
    <w:rsid w:val="001F697E"/>
    <w:rsid w:val="002119A7"/>
    <w:rsid w:val="00225DDF"/>
    <w:rsid w:val="002403FD"/>
    <w:rsid w:val="00244B65"/>
    <w:rsid w:val="002461A7"/>
    <w:rsid w:val="0024765A"/>
    <w:rsid w:val="0026193C"/>
    <w:rsid w:val="00285315"/>
    <w:rsid w:val="00285E0B"/>
    <w:rsid w:val="002909AF"/>
    <w:rsid w:val="00291543"/>
    <w:rsid w:val="002C1731"/>
    <w:rsid w:val="002F1D46"/>
    <w:rsid w:val="0030406C"/>
    <w:rsid w:val="003211DA"/>
    <w:rsid w:val="0034726D"/>
    <w:rsid w:val="003516B0"/>
    <w:rsid w:val="003541C5"/>
    <w:rsid w:val="003654E9"/>
    <w:rsid w:val="00366650"/>
    <w:rsid w:val="00371415"/>
    <w:rsid w:val="0039673B"/>
    <w:rsid w:val="003C09CF"/>
    <w:rsid w:val="003E2A8D"/>
    <w:rsid w:val="003F661B"/>
    <w:rsid w:val="00404A56"/>
    <w:rsid w:val="00411BF8"/>
    <w:rsid w:val="00421173"/>
    <w:rsid w:val="004226F7"/>
    <w:rsid w:val="0042770C"/>
    <w:rsid w:val="00441A71"/>
    <w:rsid w:val="00450254"/>
    <w:rsid w:val="004A1F63"/>
    <w:rsid w:val="004A20E2"/>
    <w:rsid w:val="004A28C7"/>
    <w:rsid w:val="004A6DC3"/>
    <w:rsid w:val="004C12D2"/>
    <w:rsid w:val="004C1EE8"/>
    <w:rsid w:val="004C4CE6"/>
    <w:rsid w:val="004C5795"/>
    <w:rsid w:val="004D2469"/>
    <w:rsid w:val="004D7503"/>
    <w:rsid w:val="004E7539"/>
    <w:rsid w:val="0051152E"/>
    <w:rsid w:val="00532779"/>
    <w:rsid w:val="00544B53"/>
    <w:rsid w:val="00556C3B"/>
    <w:rsid w:val="00561CFF"/>
    <w:rsid w:val="0057170C"/>
    <w:rsid w:val="0057393A"/>
    <w:rsid w:val="0059428F"/>
    <w:rsid w:val="005A1444"/>
    <w:rsid w:val="005B4338"/>
    <w:rsid w:val="005C25E3"/>
    <w:rsid w:val="005C59B1"/>
    <w:rsid w:val="005E02BD"/>
    <w:rsid w:val="005E50D7"/>
    <w:rsid w:val="005F3F7D"/>
    <w:rsid w:val="006052EE"/>
    <w:rsid w:val="00606A35"/>
    <w:rsid w:val="006156E2"/>
    <w:rsid w:val="00615E13"/>
    <w:rsid w:val="00616270"/>
    <w:rsid w:val="006301AE"/>
    <w:rsid w:val="00631F96"/>
    <w:rsid w:val="00640B34"/>
    <w:rsid w:val="006828CA"/>
    <w:rsid w:val="00684052"/>
    <w:rsid w:val="00694969"/>
    <w:rsid w:val="006B57A3"/>
    <w:rsid w:val="006E2BE5"/>
    <w:rsid w:val="006F11FE"/>
    <w:rsid w:val="006F269F"/>
    <w:rsid w:val="00707B67"/>
    <w:rsid w:val="007171AC"/>
    <w:rsid w:val="00721D5A"/>
    <w:rsid w:val="007342BC"/>
    <w:rsid w:val="0074094F"/>
    <w:rsid w:val="00750604"/>
    <w:rsid w:val="00767F3A"/>
    <w:rsid w:val="00772EB1"/>
    <w:rsid w:val="00784530"/>
    <w:rsid w:val="007A2D97"/>
    <w:rsid w:val="007A3C72"/>
    <w:rsid w:val="007B4FC2"/>
    <w:rsid w:val="007C0D0B"/>
    <w:rsid w:val="007D35A7"/>
    <w:rsid w:val="007E57CF"/>
    <w:rsid w:val="007F6C28"/>
    <w:rsid w:val="00850D63"/>
    <w:rsid w:val="008567DA"/>
    <w:rsid w:val="008604B6"/>
    <w:rsid w:val="00866DE8"/>
    <w:rsid w:val="0087773D"/>
    <w:rsid w:val="00884163"/>
    <w:rsid w:val="0088727C"/>
    <w:rsid w:val="00890561"/>
    <w:rsid w:val="008924AB"/>
    <w:rsid w:val="008932F2"/>
    <w:rsid w:val="00911CE1"/>
    <w:rsid w:val="0091551C"/>
    <w:rsid w:val="009164D5"/>
    <w:rsid w:val="009201A6"/>
    <w:rsid w:val="00940A84"/>
    <w:rsid w:val="00941153"/>
    <w:rsid w:val="00957A41"/>
    <w:rsid w:val="00962728"/>
    <w:rsid w:val="00963BB9"/>
    <w:rsid w:val="00985876"/>
    <w:rsid w:val="00986D8A"/>
    <w:rsid w:val="009951FD"/>
    <w:rsid w:val="009C0EDB"/>
    <w:rsid w:val="009D7E3D"/>
    <w:rsid w:val="009E3ED1"/>
    <w:rsid w:val="009F102D"/>
    <w:rsid w:val="009F120D"/>
    <w:rsid w:val="009F2F56"/>
    <w:rsid w:val="009F7749"/>
    <w:rsid w:val="00A00059"/>
    <w:rsid w:val="00A07DB4"/>
    <w:rsid w:val="00A21271"/>
    <w:rsid w:val="00A21688"/>
    <w:rsid w:val="00A22CF1"/>
    <w:rsid w:val="00A27410"/>
    <w:rsid w:val="00A373FA"/>
    <w:rsid w:val="00A6345D"/>
    <w:rsid w:val="00A71D85"/>
    <w:rsid w:val="00A86AF2"/>
    <w:rsid w:val="00AA3B26"/>
    <w:rsid w:val="00AA3DD7"/>
    <w:rsid w:val="00AA49E9"/>
    <w:rsid w:val="00AB7E3D"/>
    <w:rsid w:val="00AD02A7"/>
    <w:rsid w:val="00AE463F"/>
    <w:rsid w:val="00AE5275"/>
    <w:rsid w:val="00AF3C78"/>
    <w:rsid w:val="00B2337E"/>
    <w:rsid w:val="00B37458"/>
    <w:rsid w:val="00B37625"/>
    <w:rsid w:val="00B415F3"/>
    <w:rsid w:val="00B657DC"/>
    <w:rsid w:val="00B67E28"/>
    <w:rsid w:val="00B813E1"/>
    <w:rsid w:val="00B90AA0"/>
    <w:rsid w:val="00B9660D"/>
    <w:rsid w:val="00BB320F"/>
    <w:rsid w:val="00BC3161"/>
    <w:rsid w:val="00BC6A10"/>
    <w:rsid w:val="00C06F35"/>
    <w:rsid w:val="00C104CA"/>
    <w:rsid w:val="00C11937"/>
    <w:rsid w:val="00C25C32"/>
    <w:rsid w:val="00C32AA9"/>
    <w:rsid w:val="00C33146"/>
    <w:rsid w:val="00C56096"/>
    <w:rsid w:val="00C60CFC"/>
    <w:rsid w:val="00C81A85"/>
    <w:rsid w:val="00C94E69"/>
    <w:rsid w:val="00CA7562"/>
    <w:rsid w:val="00CB466A"/>
    <w:rsid w:val="00CC52CB"/>
    <w:rsid w:val="00CC5F51"/>
    <w:rsid w:val="00CF3E11"/>
    <w:rsid w:val="00D06BFE"/>
    <w:rsid w:val="00D273F0"/>
    <w:rsid w:val="00D63BBD"/>
    <w:rsid w:val="00DA752B"/>
    <w:rsid w:val="00DB4FBD"/>
    <w:rsid w:val="00DB53B3"/>
    <w:rsid w:val="00DD1EC8"/>
    <w:rsid w:val="00DE00BE"/>
    <w:rsid w:val="00DF3DCE"/>
    <w:rsid w:val="00E102A9"/>
    <w:rsid w:val="00E11576"/>
    <w:rsid w:val="00E22375"/>
    <w:rsid w:val="00E2742E"/>
    <w:rsid w:val="00E27E89"/>
    <w:rsid w:val="00E3726C"/>
    <w:rsid w:val="00E40DE1"/>
    <w:rsid w:val="00E51707"/>
    <w:rsid w:val="00E618EC"/>
    <w:rsid w:val="00E65D1F"/>
    <w:rsid w:val="00E71336"/>
    <w:rsid w:val="00E72ECF"/>
    <w:rsid w:val="00E85FFF"/>
    <w:rsid w:val="00E956CB"/>
    <w:rsid w:val="00E97DE1"/>
    <w:rsid w:val="00EC6E58"/>
    <w:rsid w:val="00ED7A59"/>
    <w:rsid w:val="00EE124D"/>
    <w:rsid w:val="00F12B34"/>
    <w:rsid w:val="00F34B37"/>
    <w:rsid w:val="00F40B25"/>
    <w:rsid w:val="00F42427"/>
    <w:rsid w:val="00F71374"/>
    <w:rsid w:val="00F94170"/>
    <w:rsid w:val="00FA385D"/>
    <w:rsid w:val="00FA4284"/>
    <w:rsid w:val="00FA6B15"/>
    <w:rsid w:val="00FB0CCE"/>
    <w:rsid w:val="00FC1006"/>
    <w:rsid w:val="00FD3274"/>
    <w:rsid w:val="00FE5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2EE"/>
    <w:pPr>
      <w:spacing w:after="0" w:line="240" w:lineRule="auto"/>
    </w:pPr>
    <w:rPr>
      <w:rFonts w:ascii="Calibri" w:eastAsia="Calibri" w:hAnsi="Calibri" w:cs="Times New Roman"/>
    </w:rPr>
  </w:style>
  <w:style w:type="paragraph" w:styleId="ListParagraph">
    <w:name w:val="List Paragraph"/>
    <w:basedOn w:val="Normal"/>
    <w:uiPriority w:val="34"/>
    <w:qFormat/>
    <w:rsid w:val="00E71336"/>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9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FD"/>
  </w:style>
  <w:style w:type="paragraph" w:styleId="Footer">
    <w:name w:val="footer"/>
    <w:basedOn w:val="Normal"/>
    <w:link w:val="FooterChar"/>
    <w:uiPriority w:val="99"/>
    <w:unhideWhenUsed/>
    <w:rsid w:val="00995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FD"/>
  </w:style>
  <w:style w:type="paragraph" w:styleId="BalloonText">
    <w:name w:val="Balloon Text"/>
    <w:basedOn w:val="Normal"/>
    <w:link w:val="BalloonTextChar"/>
    <w:uiPriority w:val="99"/>
    <w:semiHidden/>
    <w:unhideWhenUsed/>
    <w:rsid w:val="0085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DA"/>
    <w:rPr>
      <w:rFonts w:ascii="Tahoma" w:hAnsi="Tahoma" w:cs="Tahoma"/>
      <w:sz w:val="16"/>
      <w:szCs w:val="16"/>
    </w:rPr>
  </w:style>
  <w:style w:type="paragraph" w:styleId="PlainText">
    <w:name w:val="Plain Text"/>
    <w:basedOn w:val="Normal"/>
    <w:link w:val="PlainTextChar"/>
    <w:uiPriority w:val="99"/>
    <w:unhideWhenUsed/>
    <w:rsid w:val="006828CA"/>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828CA"/>
    <w:rPr>
      <w:rFonts w:ascii="Consolas" w:eastAsiaTheme="minorHAnsi" w:hAnsi="Consolas" w:cs="Consolas"/>
      <w:sz w:val="21"/>
      <w:szCs w:val="21"/>
    </w:rPr>
  </w:style>
  <w:style w:type="paragraph" w:styleId="FootnoteText">
    <w:name w:val="footnote text"/>
    <w:basedOn w:val="Normal"/>
    <w:link w:val="FootnoteTextChar"/>
    <w:uiPriority w:val="99"/>
    <w:semiHidden/>
    <w:unhideWhenUsed/>
    <w:rsid w:val="00940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A84"/>
    <w:rPr>
      <w:sz w:val="20"/>
      <w:szCs w:val="20"/>
    </w:rPr>
  </w:style>
  <w:style w:type="character" w:styleId="FootnoteReference">
    <w:name w:val="footnote reference"/>
    <w:basedOn w:val="DefaultParagraphFont"/>
    <w:uiPriority w:val="99"/>
    <w:semiHidden/>
    <w:unhideWhenUsed/>
    <w:rsid w:val="00940A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2EE"/>
    <w:pPr>
      <w:spacing w:after="0" w:line="240" w:lineRule="auto"/>
    </w:pPr>
    <w:rPr>
      <w:rFonts w:ascii="Calibri" w:eastAsia="Calibri" w:hAnsi="Calibri" w:cs="Times New Roman"/>
    </w:rPr>
  </w:style>
  <w:style w:type="paragraph" w:styleId="ListParagraph">
    <w:name w:val="List Paragraph"/>
    <w:basedOn w:val="Normal"/>
    <w:uiPriority w:val="34"/>
    <w:qFormat/>
    <w:rsid w:val="00E71336"/>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95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1FD"/>
  </w:style>
  <w:style w:type="paragraph" w:styleId="Footer">
    <w:name w:val="footer"/>
    <w:basedOn w:val="Normal"/>
    <w:link w:val="FooterChar"/>
    <w:uiPriority w:val="99"/>
    <w:unhideWhenUsed/>
    <w:rsid w:val="00995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1FD"/>
  </w:style>
  <w:style w:type="paragraph" w:styleId="BalloonText">
    <w:name w:val="Balloon Text"/>
    <w:basedOn w:val="Normal"/>
    <w:link w:val="BalloonTextChar"/>
    <w:uiPriority w:val="99"/>
    <w:semiHidden/>
    <w:unhideWhenUsed/>
    <w:rsid w:val="0085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DA"/>
    <w:rPr>
      <w:rFonts w:ascii="Tahoma" w:hAnsi="Tahoma" w:cs="Tahoma"/>
      <w:sz w:val="16"/>
      <w:szCs w:val="16"/>
    </w:rPr>
  </w:style>
  <w:style w:type="paragraph" w:styleId="PlainText">
    <w:name w:val="Plain Text"/>
    <w:basedOn w:val="Normal"/>
    <w:link w:val="PlainTextChar"/>
    <w:uiPriority w:val="99"/>
    <w:unhideWhenUsed/>
    <w:rsid w:val="006828CA"/>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6828CA"/>
    <w:rPr>
      <w:rFonts w:ascii="Consolas" w:eastAsiaTheme="minorHAnsi" w:hAnsi="Consolas" w:cs="Consolas"/>
      <w:sz w:val="21"/>
      <w:szCs w:val="21"/>
    </w:rPr>
  </w:style>
  <w:style w:type="paragraph" w:styleId="FootnoteText">
    <w:name w:val="footnote text"/>
    <w:basedOn w:val="Normal"/>
    <w:link w:val="FootnoteTextChar"/>
    <w:uiPriority w:val="99"/>
    <w:semiHidden/>
    <w:unhideWhenUsed/>
    <w:rsid w:val="00940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0A84"/>
    <w:rPr>
      <w:sz w:val="20"/>
      <w:szCs w:val="20"/>
    </w:rPr>
  </w:style>
  <w:style w:type="character" w:styleId="FootnoteReference">
    <w:name w:val="footnote reference"/>
    <w:basedOn w:val="DefaultParagraphFont"/>
    <w:uiPriority w:val="99"/>
    <w:semiHidden/>
    <w:unhideWhenUsed/>
    <w:rsid w:val="00940A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1006">
      <w:bodyDiv w:val="1"/>
      <w:marLeft w:val="0"/>
      <w:marRight w:val="0"/>
      <w:marTop w:val="0"/>
      <w:marBottom w:val="0"/>
      <w:divBdr>
        <w:top w:val="none" w:sz="0" w:space="0" w:color="auto"/>
        <w:left w:val="none" w:sz="0" w:space="0" w:color="auto"/>
        <w:bottom w:val="none" w:sz="0" w:space="0" w:color="auto"/>
        <w:right w:val="none" w:sz="0" w:space="0" w:color="auto"/>
      </w:divBdr>
    </w:div>
    <w:div w:id="565460531">
      <w:bodyDiv w:val="1"/>
      <w:marLeft w:val="0"/>
      <w:marRight w:val="0"/>
      <w:marTop w:val="0"/>
      <w:marBottom w:val="0"/>
      <w:divBdr>
        <w:top w:val="none" w:sz="0" w:space="0" w:color="auto"/>
        <w:left w:val="none" w:sz="0" w:space="0" w:color="auto"/>
        <w:bottom w:val="none" w:sz="0" w:space="0" w:color="auto"/>
        <w:right w:val="none" w:sz="0" w:space="0" w:color="auto"/>
      </w:divBdr>
    </w:div>
    <w:div w:id="1009412615">
      <w:bodyDiv w:val="1"/>
      <w:marLeft w:val="0"/>
      <w:marRight w:val="0"/>
      <w:marTop w:val="0"/>
      <w:marBottom w:val="0"/>
      <w:divBdr>
        <w:top w:val="none" w:sz="0" w:space="0" w:color="auto"/>
        <w:left w:val="none" w:sz="0" w:space="0" w:color="auto"/>
        <w:bottom w:val="none" w:sz="0" w:space="0" w:color="auto"/>
        <w:right w:val="none" w:sz="0" w:space="0" w:color="auto"/>
      </w:divBdr>
    </w:div>
    <w:div w:id="192309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5DFF2-BA0B-4DDA-AB74-8C5DD328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jbru</dc:creator>
  <cp:lastModifiedBy>setup</cp:lastModifiedBy>
  <cp:revision>2</cp:revision>
  <cp:lastPrinted>2012-07-12T15:35:00Z</cp:lastPrinted>
  <dcterms:created xsi:type="dcterms:W3CDTF">2012-11-28T15:53:00Z</dcterms:created>
  <dcterms:modified xsi:type="dcterms:W3CDTF">2012-11-28T15:53:00Z</dcterms:modified>
</cp:coreProperties>
</file>